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01A7" w:rsidRPr="00E601A7" w:rsidRDefault="00E601A7" w:rsidP="00E601A7">
      <w:pPr>
        <w:keepNext/>
        <w:spacing w:after="120"/>
        <w:jc w:val="center"/>
        <w:outlineLvl w:val="0"/>
        <w:rPr>
          <w:rFonts w:ascii="Kyrghyz Times" w:eastAsia="Times New Roman" w:hAnsi="Kyrghyz Times" w:cs="Times New Roman"/>
          <w:b/>
          <w:color w:val="000000"/>
          <w:sz w:val="28"/>
          <w:szCs w:val="28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8"/>
          <w:szCs w:val="28"/>
          <w:lang w:eastAsia="ru-RU"/>
        </w:rPr>
        <w:t>Методологиялык</w:t>
      </w:r>
      <w:proofErr w:type="spellEnd"/>
      <w:r w:rsidRPr="00E601A7">
        <w:rPr>
          <w:rFonts w:ascii="Kyrghyz Times" w:eastAsia="Times New Roman" w:hAnsi="Kyrghyz Time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8"/>
          <w:szCs w:val="28"/>
          <w:lang w:eastAsia="ru-RU"/>
        </w:rPr>
        <w:t>тішіндірмјлјр</w:t>
      </w:r>
      <w:proofErr w:type="spellEnd"/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Тейлјјлјр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-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керектјјчілјрдін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заказы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јндіріічілјр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тарабынан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ишке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ашырылган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тірлјрі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аларды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јндіріі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процессинде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жаѕы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материалдык-буюмдук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продукт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жаралбайт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, бирок,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болгон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продуктунун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сапаты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же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тірі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јзгјрјт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340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  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тейлјјлјрді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чарба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жіргізіічі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субъект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val="ky-KG" w:eastAsia="ru-RU"/>
        </w:rPr>
        <w:t>т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ер,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б.а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.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экономикалык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негизги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тірі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менен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алектенген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кјрсјтіі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чјйрјсіндј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менчиктин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формасына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кјз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карандысыз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ишмердигин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ишке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ашырган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ишканалар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(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юридикалык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жактар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)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ишкерлер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(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адамдар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)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кјрсјтјт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340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Кыргыз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Республикасынын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Экономикалык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тірлјрі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мамлекеттик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val="ky-KG" w:eastAsia="ru-RU"/>
        </w:rPr>
        <w:t>к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лассификаторлоруна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(ЭИМК 3)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ылайык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кјрсјтіі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экономикалык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негизги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тірлјрінј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д³¾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автомобилдерди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мотоциклдерди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о</w:t>
      </w:r>
      <w:r w:rsidR="00575D6C">
        <w:rPr>
          <w:rFonts w:ascii="Cambria" w:eastAsia="Times New Roman" w:hAnsi="Cambria" w:cs="Times New Roman"/>
          <w:bCs/>
          <w:color w:val="000000"/>
          <w:sz w:val="21"/>
          <w:szCs w:val="21"/>
          <w:lang w:val="ky-KG" w:eastAsia="ru-RU"/>
        </w:rPr>
        <w:t>ң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доо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транспорт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жікт</w:t>
      </w:r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ј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рді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сактоо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,</w:t>
      </w:r>
      <w:r w:rsidR="00575D6C">
        <w:rPr>
          <w:rFonts w:ascii="Kyrghyz Times" w:eastAsia="Times New Roman" w:hAnsi="Kyrghyz Times" w:cs="Times New Roman"/>
          <w:bCs/>
          <w:color w:val="000000"/>
          <w:sz w:val="21"/>
          <w:szCs w:val="21"/>
          <w:lang w:val="ky-KG"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маалымат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байланыш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финансылык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ортомчулук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камсыздандыруу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кыймылсыз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мілк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операциялары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кесиптик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илимий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техникалык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административдик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</w:t>
      </w:r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ј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</w:t>
      </w:r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ј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кчі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саламаттыкты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сактоо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калкты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социалдык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жактан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исскуство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</w:t>
      </w:r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ј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ніл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ачуу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эс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алуу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«Д³¾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;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автомобилдерди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мотоциклдерди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о¾доо»</w:t>
      </w:r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ишмердигинин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тірі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јзінј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автомобилдерди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тетиктерди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шаймандарды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соодалоо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автомобилдерди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техникалык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жактан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о¾доо, мотор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майынын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соодасы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ді¾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кызматтарын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ж³г³рт³³</w:t>
      </w:r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-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пайдаланууда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же ³й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чарбада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колдонуу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калкка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акчага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сатылган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керектјј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товарларынын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наркы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Мындан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тышкары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ж³г³рт³³г¼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буюм-терим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аралаш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азык-т³л³к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базарларында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адамдар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тарабынан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сатылган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товарлардын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соодасы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да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кирет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Cs/>
          <w:sz w:val="21"/>
          <w:szCs w:val="21"/>
          <w:lang w:eastAsia="ru-RU"/>
        </w:rPr>
        <w:t xml:space="preserve">Ді¾ </w:t>
      </w:r>
      <w:proofErr w:type="spellStart"/>
      <w:r w:rsidRPr="00E601A7">
        <w:rPr>
          <w:rFonts w:ascii="Kyrghyz Times" w:eastAsia="Times New Roman" w:hAnsi="Kyrghyz Times" w:cs="Times New Roman"/>
          <w:b/>
          <w:iCs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b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iCs/>
          <w:sz w:val="21"/>
          <w:szCs w:val="21"/>
          <w:lang w:eastAsia="ru-RU"/>
        </w:rPr>
        <w:t>жігіртіі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-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чекене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сатуучуларга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јнјр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жай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ишкана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профессионалдык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керектјјчілјргј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же башка ді¾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сатуучуларга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ошондой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эле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товарларды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сатып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алуу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учурунда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аларды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кайра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сатып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јткјріі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максатында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мындай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адамдардын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компаниялардын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атынан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иштеген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агенттерге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жа¾ы же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мурун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колдонулган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товарларды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сатууну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(кайра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сатууну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)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јзінј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>Автомобилдерди</w:t>
      </w:r>
      <w:proofErr w:type="spellEnd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 xml:space="preserve"> о¾доо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>техникалык</w:t>
      </w:r>
      <w:proofErr w:type="spellEnd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>жактан</w:t>
      </w:r>
      <w:proofErr w:type="spellEnd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iCs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кјрсјтілгјн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тейлјјлјрдін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кјлјмі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-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тейлјјлјрдін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сатуусун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мінјздјјчі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сооданын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жалпы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кјлјмінін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бјлігі</w:t>
      </w:r>
      <w:proofErr w:type="spellEnd"/>
      <w:r w:rsidRPr="00E601A7">
        <w:rPr>
          <w:rFonts w:ascii="Kyrghyz Times" w:eastAsia="Times New Roman" w:hAnsi="Kyrghyz Times" w:cs="Times New Roman"/>
          <w:iCs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«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Мейманканалар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ресторандар</w:t>
      </w:r>
      <w:proofErr w:type="spellEnd"/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»</w:t>
      </w:r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ишмердигинин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тірі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јзінј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мейманканалар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кыска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мјјнјткј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жашай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турган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жайлар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кјрсјткјн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тейлјјлјрді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ресторандар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барлар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ашканалар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даяр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тамак-аш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менен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камсыз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кылуучу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ишканалар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кјрсјткјн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тейлјјлјрді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Мейманканалар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кыска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мјјнјткј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жашай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турган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жайлардын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жігіртіісі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iCs/>
          <w:sz w:val="21"/>
          <w:szCs w:val="21"/>
          <w:lang w:eastAsia="ru-RU"/>
        </w:rPr>
        <w:t>јзінј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жашап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туруу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берилген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орундан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тішкјн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акчанын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кјлјмін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ичине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bCs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Ресторан, кафе, бар,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ашканалардын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/>
          <w:bCs/>
          <w:sz w:val="21"/>
          <w:szCs w:val="21"/>
          <w:lang w:eastAsia="ru-RU"/>
        </w:rPr>
        <w:t>ж³г³рт³³с³</w:t>
      </w:r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-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калкка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сатылган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¼зд³к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кулинардык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тамак-аш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азыктарынын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наркы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ошондой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эле,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ошол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жерде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керектјј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сатылган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кулинардык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жактан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иштетилбеген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товарлардын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наркы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кјлјмі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юридикалык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жактар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ишкерлер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(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адамдар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)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тарабынан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кјрсјтілгјн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тейлјјлјрдјн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тішкјн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акчанын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жалпы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кјлјмін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чагылдырат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Транспорт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тейлјјлјрі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жіргінчі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жік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ташуу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транспорт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кызматына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ишмердиктерди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Байланыш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кызматы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улуттук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почта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курьердик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менен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шаардык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айылдык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телефон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тійіндјрінін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электрондук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байланыш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эл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аралык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шаар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аралык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телефон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тійіндјрін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телеграф,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телевизиондук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программалардын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трансляциялары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«Интернет»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тійінінј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туташууну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камсыз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кылуу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уюлдук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телефон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байланыш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кызматтарын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="00575D6C">
        <w:rPr>
          <w:rFonts w:ascii="Kyrghyz Times" w:eastAsia="Times New Roman" w:hAnsi="Kyrghyz Times" w:cs="Times New Roman"/>
          <w:sz w:val="21"/>
          <w:szCs w:val="21"/>
          <w:lang w:val="ky-KG" w:eastAsia="ru-RU"/>
        </w:rPr>
        <w:t>.</w:t>
      </w:r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Финансы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тейлјјлјр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финансылык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ортомчулук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(банк,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векселдик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контора,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сактык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банктардын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) финансы лизинги, кредит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камсыздандыруу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финансы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рынокторун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башкаруу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фонддук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баалуулуктагы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биржа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операцияларынын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кызматтарын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Кыймылсыз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мілк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операциялары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тейлјјлјр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менчик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турак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жай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эмес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фондун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ижарага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кыймылсыз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мілк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персоналды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эсептебегендеги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ижара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тейлјјсі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эсептјј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техникалары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ага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байланыштуу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lastRenderedPageBreak/>
        <w:t>изилдјј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иштеп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чыгуу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тармагындагы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кызматтар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ушул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јѕдіі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тейлјјлјрді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јзінј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/>
          <w:sz w:val="21"/>
          <w:szCs w:val="21"/>
          <w:lang w:val="ky-KG" w:eastAsia="ru-RU"/>
        </w:rPr>
        <w:t>кызмат к¼рс¼тіі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лјрінј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sz w:val="21"/>
          <w:szCs w:val="21"/>
          <w:lang w:val="ky-KG" w:eastAsia="ru-RU"/>
        </w:rPr>
        <w:t xml:space="preserve">акылуу (рыноктук)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мектепке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чейинки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мектепте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техникалык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кесиптик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орто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жогорку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кечки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мектептердин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ишмердиги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улуу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адамдар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балдар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ар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кандай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курстардагы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окутуу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башка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топторго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киргизилбеген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башка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билим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беріінін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тийиштіі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Саламаттыкты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сактоо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социалдык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/>
          <w:sz w:val="21"/>
          <w:szCs w:val="21"/>
          <w:lang w:val="ky-KG" w:eastAsia="ru-RU"/>
        </w:rPr>
        <w:t>кызмат к¼рс¼тіі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лјрінј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sz w:val="21"/>
          <w:szCs w:val="21"/>
          <w:lang w:val="ky-KG" w:eastAsia="ru-RU"/>
        </w:rPr>
        <w:t xml:space="preserve">акылуу (рыноктук)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оорукана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мекемелеринин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дарыгерлердин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тажрыйбасын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адамдын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ден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соолугун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коргоо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социалдык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тейлјјлјрді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кјрсјтіі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ветеринардык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ишмердиктерди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Коммуналдык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социалдык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тейлјј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кјрсјтіі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 xml:space="preserve"> </w:t>
      </w:r>
      <w:proofErr w:type="spellStart"/>
      <w:proofErr w:type="gramStart"/>
      <w:r w:rsidRPr="00E601A7">
        <w:rPr>
          <w:rFonts w:ascii="Kyrghyz Times" w:eastAsia="Times New Roman" w:hAnsi="Kyrghyz Times" w:cs="Times New Roman"/>
          <w:b/>
          <w:sz w:val="21"/>
          <w:szCs w:val="21"/>
          <w:lang w:eastAsia="ru-RU"/>
        </w:rPr>
        <w:t>тейлјјлјр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булганыч</w:t>
      </w:r>
      <w:proofErr w:type="spellEnd"/>
      <w:proofErr w:type="gram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агын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сууларды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калдыктарды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жоготуу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ушул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јѕдіі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ишмердиктерди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эс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алууну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спортту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уюштуруу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тармагын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жеке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кызмат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кјрсјтіілјрді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камтыйт</w:t>
      </w:r>
      <w:proofErr w:type="spellEnd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sz w:val="21"/>
          <w:szCs w:val="21"/>
          <w:lang w:eastAsia="ru-RU"/>
        </w:rPr>
        <w:t>С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ооданын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ж³г³рт³³с³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тейл¼¼л¼рдін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алынган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маалыматтарды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байкоо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жіргізілгјн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обьектилердин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башкы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жыйындысына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таркатуу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менен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бирге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ири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орто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уюмдарга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ай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сайын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текши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статистикалык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байкоо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ж³рг³з³³н³н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маалыматтары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ошондой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эле чакан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кварталдык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изилд¼¼л¼р³н³н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маалыматтары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буюм-терим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аралаш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азык-т³л³к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базарларына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тандалма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изилд¼¼ ж³рг³з³³н³н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маалыматтары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т³з³л¼т.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Мындан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тышкары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улуттук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эсеп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системасынын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талаптарына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ылайык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к¼рс¼тк³чт¼ргј к¼м³ск¼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ишмердиктин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к¼л¼м³ да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киргизилет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</w:pPr>
      <w:proofErr w:type="spellStart"/>
      <w:r w:rsidRPr="00575D6C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Физикалык</w:t>
      </w:r>
      <w:proofErr w:type="spellEnd"/>
      <w:r w:rsidRPr="00575D6C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к¼л¼мд³н индекс</w:t>
      </w:r>
      <w:r w:rsidR="00575D6C" w:rsidRPr="00575D6C">
        <w:rPr>
          <w:rFonts w:ascii="Kyrghyz Times" w:eastAsia="Times New Roman" w:hAnsi="Kyrghyz Times" w:cs="Times New Roman"/>
          <w:bCs/>
          <w:color w:val="000000"/>
          <w:sz w:val="21"/>
          <w:szCs w:val="21"/>
          <w:lang w:val="ky-KG" w:eastAsia="ru-RU"/>
        </w:rPr>
        <w:t>тер</w:t>
      </w:r>
      <w:r w:rsidRPr="00575D6C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сооданын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ж³г³рт³³с³нін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динамикасын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тейл¼¼л¼рдін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айрым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товарларды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сатуунун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м³н¼зд¼йт.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индекстер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отчеттук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базистик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мезгилдин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ичиндеги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жігіртіінін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(тейл¼¼л¼рдін)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јлчјмін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салыштыруу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жолу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менен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салыштырма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баада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эсептелет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>Физикалык</w:t>
      </w:r>
      <w:proofErr w:type="spellEnd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 xml:space="preserve"> к¼л¼мд³н </w:t>
      </w: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>индекси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–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каралып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жаткан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мезгилдин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ичинде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сооданын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ж³г³рт³³с³нін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динамикасын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тейл¼¼л¼рдін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салыштырма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баада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м³н¼зд¼гјн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салыштырмалуу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кјрсјткіч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кјрсјткіч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райондордун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шаарлардын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облустардын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де¾гээлинде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жалпысынан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республика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сооданын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ж³г³рт³³с³нін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жалпы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кјлјміндјй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эле,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аймактык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ти</w:t>
      </w:r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лкедеги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айрым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товар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топторунун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тейл¼¼л¼рдін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жігіртіісінін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кјлјмі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боюнча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да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аныкталат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Ж³г³рт³³нін (тейл¼¼л¼рдін)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физикалык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к¼л¼мін³н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индекси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статистикалык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органдары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тарабынан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сооданын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мейманканалардын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ресторандардын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рыноктук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кызмат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кјрсјт³³лјрдін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кјлјмінін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јзгјрілішін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талдоо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максатында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ошондой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эле јлк¼нін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анын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чјлк¼мдјрінін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негизги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макроэкономикалык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к¼рс¼тк³чт¼рін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тізіі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ічін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колдонулат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 xml:space="preserve">Товар ж³г³рт³³нін </w:t>
      </w: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>товардык</w:t>
      </w:r>
      <w:proofErr w:type="spellEnd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color w:val="000000"/>
          <w:sz w:val="21"/>
          <w:szCs w:val="21"/>
          <w:lang w:eastAsia="ru-RU"/>
        </w:rPr>
        <w:t>тізімі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– товар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жігіртіінін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жалпы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к¼л¼м³нін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ичинде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ар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бир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товарлардын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же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товардык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топтун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кјлјмі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.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Бул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>кјрсјткіч</w:t>
      </w:r>
      <w:proofErr w:type="spellEnd"/>
      <w:r w:rsidRPr="00E601A7">
        <w:rPr>
          <w:rFonts w:ascii="Kyrghyz Times" w:eastAsia="Times New Roman" w:hAnsi="Kyrghyz Times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сатып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алуу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талабын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канааттандыруу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процессине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сапаты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жагынан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баа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берип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калктын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ар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кайсы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товарларды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сатып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алууга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кеткен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чыгымдардын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бјліштірішін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билдирет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. 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Товардык</w:t>
      </w:r>
      <w:proofErr w:type="spellEnd"/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b/>
          <w:bCs/>
          <w:color w:val="000000"/>
          <w:sz w:val="21"/>
          <w:szCs w:val="21"/>
          <w:lang w:eastAsia="ru-RU"/>
        </w:rPr>
        <w:t>запастар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–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соода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чјйрјсіндј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болгон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товарлар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ошондой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эле,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азыркы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учурда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јндіріічідј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болгон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товарлар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жана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жолдо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жіргјн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товарлар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алар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јлкјнін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товардык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ресурстарынын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бјлігі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болуп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саналат</w:t>
      </w:r>
      <w:proofErr w:type="spellEnd"/>
      <w:r w:rsidRPr="00E601A7"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tabs>
          <w:tab w:val="left" w:pos="4226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ky-KG" w:eastAsia="ru-RU"/>
        </w:rPr>
      </w:pPr>
      <w:r w:rsidRPr="00E601A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601A7" w:rsidRPr="00E601A7" w:rsidRDefault="00E601A7" w:rsidP="00E601A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01A7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60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Методологические пояснения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Услуги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</w:t>
      </w:r>
      <w:proofErr w:type="gramStart"/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- это</w:t>
      </w:r>
      <w:proofErr w:type="gramEnd"/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виды деятельности, осуществляемые производителями по заказу потребителей, в процессе выполнения которых не создается новый материально-вещественный продукт, но изменяется качество имеющего продукта или вида деятельности.</w:t>
      </w:r>
    </w:p>
    <w:p w:rsidR="00E601A7" w:rsidRPr="00E601A7" w:rsidRDefault="00E601A7" w:rsidP="00E601A7">
      <w:pPr>
        <w:spacing w:after="0" w:line="240" w:lineRule="auto"/>
        <w:ind w:firstLine="340"/>
        <w:jc w:val="both"/>
        <w:rPr>
          <w:rFonts w:ascii="Kyrghyz Times" w:eastAsia="Times New Roman" w:hAnsi="Kyrghyz Times" w:cs="Times New Roman"/>
          <w:bCs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bCs/>
          <w:i/>
          <w:color w:val="000000"/>
          <w:sz w:val="21"/>
          <w:szCs w:val="21"/>
          <w:lang w:eastAsia="ru-RU"/>
        </w:rPr>
        <w:t xml:space="preserve">    Рыночные услуги</w:t>
      </w:r>
      <w:r w:rsidRPr="00E601A7">
        <w:rPr>
          <w:rFonts w:ascii="Kyrghyz Times" w:eastAsia="Times New Roman" w:hAnsi="Kyrghyz Times" w:cs="Times New Roman"/>
          <w:bCs/>
          <w:i/>
          <w:color w:val="000000"/>
          <w:sz w:val="21"/>
          <w:szCs w:val="21"/>
          <w:lang w:eastAsia="ru-RU"/>
        </w:rPr>
        <w:t xml:space="preserve"> оказывают хозяйствующие субъекты, т.е. предприятия (юридические лица) и индивидуальные предприниматели (физические лица) с основным видом экономической деятельности, осуществляющие предпринимательскую деятельность в сфере услуг, независимо от формы собственности.</w:t>
      </w:r>
    </w:p>
    <w:p w:rsidR="00E601A7" w:rsidRPr="00E601A7" w:rsidRDefault="00E601A7" w:rsidP="00E601A7">
      <w:pPr>
        <w:spacing w:after="0" w:line="240" w:lineRule="auto"/>
        <w:ind w:firstLine="340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>В соответствии с Государственным Классификатором видов экономической деятельности Кыргызской Республики (ГКЭД 3) к основным видам экономической деятельности по оказанию рыночных услуг относятся оптовая и розничная торговля, ремонт автомобилей и мотоциклов, транспортная деятельность и хранение грузов, гостиницы и рестораны, информация и связь, финансовое посредничество и страхование, операции с недвижимым имуществом, профессиональная, научная и техническая деятельность, административная и вспомогательная деятельность, образование, здравоохранение социальное обслуживание населения, искусство, развлечения и отдых и прочая обслуживающая деятельность.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  <w:t xml:space="preserve">Вид деятельности </w:t>
      </w:r>
      <w:r w:rsidRPr="00E601A7">
        <w:rPr>
          <w:rFonts w:ascii="Kyrghyz Times" w:eastAsia="Times New Roman" w:hAnsi="Kyrghyz Times" w:cs="Times New Roman"/>
          <w:b/>
          <w:bCs/>
          <w:i/>
          <w:iCs/>
          <w:sz w:val="21"/>
          <w:szCs w:val="21"/>
          <w:lang w:eastAsia="ru-RU"/>
        </w:rPr>
        <w:t>«Оптовая и розничная торговля; ремонт автомобилей и мотоциклов»</w:t>
      </w:r>
      <w:r w:rsidRPr="00E601A7"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  <w:t xml:space="preserve"> включает в себя торговлю автомобилями, узлами и принадлежностями, техническое обслуживание и ремонт автомобилей, розничную торговлю моторным топливом, оптовую торговлю, розничную торговлю.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Оборот розничной торговли</w:t>
      </w:r>
      <w:r w:rsidRPr="00E601A7">
        <w:rPr>
          <w:rFonts w:ascii="Kyrghyz Times" w:eastAsia="Times New Roman" w:hAnsi="Kyrghyz Times" w:cs="Times New Roman"/>
          <w:i/>
          <w:sz w:val="21"/>
          <w:szCs w:val="21"/>
          <w:lang w:eastAsia="ru-RU"/>
        </w:rPr>
        <w:t xml:space="preserve"> представляет собой стоимость проданных населению за наличный расчет потребительских товаров для личного потребления или использования в домашнем хозяйстве.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sz w:val="21"/>
          <w:szCs w:val="21"/>
          <w:lang w:eastAsia="ru-RU"/>
        </w:rPr>
        <w:t>Кроме того, оборот розничной торговли включает продажу товаров физическими лицами на вещевых, смешанных и продовольственных рынках.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Оборот оптовой торговли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включает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продажу (перепродажу) новых и бывших в употреблении товаров розничным торговцам, промышленным, учрежденческим или профессиональным пользователям, или же другим торговым оптовым торговцам, а также лицам, действующим в качестве агентов при покупке товаров от имени таких лиц и компаний для дальнейшей перепродажи товаров.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Объемы оказанных услуг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за ремонт и техническое обслуживание автомобилей, ремонт бытовых изделий и предметов личного пользования представляют собой часть общего объема торговли, характеризующую продажу этих услуг.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  <w:t xml:space="preserve">Вид деятельности </w:t>
      </w:r>
      <w:r w:rsidRPr="00E601A7">
        <w:rPr>
          <w:rFonts w:ascii="Kyrghyz Times" w:eastAsia="Times New Roman" w:hAnsi="Kyrghyz Times" w:cs="Times New Roman"/>
          <w:b/>
          <w:bCs/>
          <w:i/>
          <w:iCs/>
          <w:sz w:val="21"/>
          <w:szCs w:val="21"/>
          <w:lang w:eastAsia="ru-RU"/>
        </w:rPr>
        <w:t>«Гостиницы и рестораны»</w:t>
      </w:r>
      <w:r w:rsidRPr="00E601A7">
        <w:rPr>
          <w:rFonts w:ascii="Kyrghyz Times" w:eastAsia="Times New Roman" w:hAnsi="Kyrghyz Times" w:cs="Times New Roman"/>
          <w:i/>
          <w:iCs/>
          <w:sz w:val="21"/>
          <w:szCs w:val="21"/>
          <w:lang w:eastAsia="ru-RU"/>
        </w:rPr>
        <w:t xml:space="preserve"> включает в себя предоставление услуг гостиницами и другими местами для краткосрочного проживания и предоставление услуг ресторанами, барами, столовыми и другими предприятиями по поставке готовой пищи.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Оборот гостиниц и других мест для краткосрочного проживания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включает в себя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объем выручки за предоставление места для проживания.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Оборот ресторанов, кафе, баров, столовых</w:t>
      </w:r>
      <w:r w:rsidRPr="00E601A7">
        <w:rPr>
          <w:rFonts w:ascii="Kyrghyz Times" w:eastAsia="Times New Roman" w:hAnsi="Kyrghyz Times" w:cs="Times New Roman"/>
          <w:i/>
          <w:sz w:val="21"/>
          <w:szCs w:val="21"/>
          <w:lang w:eastAsia="ru-RU"/>
        </w:rPr>
        <w:t xml:space="preserve"> представляет собой стоимость проданной населению собственной кулинарной продукции, а также покупных товаров, проданных для потребления на месте без кулинарной обработки.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sz w:val="21"/>
          <w:szCs w:val="21"/>
          <w:lang w:eastAsia="ru-RU"/>
        </w:rPr>
        <w:t>Объем услуг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отражает общий объем выручки от предоставления услуг, оказанных юридическими лицами и индивидуальными предпринимателями (физическими лицами).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транспорта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включают деятельность, связанную с услугами пассажирского и грузового транспорта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Услуги связи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включают услуги деятельности национальной почты, курьерскую деятельность и услуги электрической связи городской и сельской телефонной сети, международной и междугородной телефонной сети, телеграфа, трансляции телевизионных программ, по обеспечению доступа к сети «Интернет», мобильной телефонной связи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. 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по финансовой деятельности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включают услуги финансового посредничества (деятельность банков, вексельных контор, сберегательных банков), финансовый лизинг, предоставление кредита, страхования, управление финансовыми рынками, биржевые операции с фондовыми ценностями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по операциям с недвижимым имуществом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включают услуги с недвижимым имуществом, по сдаче в аренду собственного и нежилого фонда, услуги аренды без персонала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,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услуги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lastRenderedPageBreak/>
        <w:t xml:space="preserve">по вычислительной технике и связанной с ней деятельности, услуги, оказываемые в области исследований и разработок, а также прочие услуги. 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образования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включают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val="ky-KG" w:eastAsia="ru-RU"/>
        </w:rPr>
        <w:t xml:space="preserve">платные (рыночные)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услуги дошкольного, школьного образования, технического и профессионального среднего образования, высшего образования, деятельности вечерних образовательных школ, обучение на различных курсах для взрослых и детей, прочее образование не включенные в другие группировки.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здравоохранения и по предоставлению социальных услуг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включают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val="ky-KG" w:eastAsia="ru-RU"/>
        </w:rPr>
        <w:t xml:space="preserve">платные (рыночные)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услуги больничных учреждений, врачебную практику, прочую деятельность по охране здоровья человека, предоставление социальных услуг, ветеринарную деятельность.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 xml:space="preserve">Услуги по предоставлению коммунальных, социальных и персональных услуг 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>включают услуги по удалению сточных вод, отходов и аналогичную деятельность, деятельность в области организации отдыха и спорта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,</w:t>
      </w:r>
      <w:r w:rsidRPr="00E601A7">
        <w:rPr>
          <w:rFonts w:ascii="Kyrghyz Times" w:eastAsia="Times New Roman" w:hAnsi="Kyrghyz Times" w:cs="Times New Roman"/>
          <w:bCs/>
          <w:i/>
          <w:sz w:val="21"/>
          <w:szCs w:val="21"/>
          <w:lang w:eastAsia="ru-RU"/>
        </w:rPr>
        <w:t xml:space="preserve"> услуги по предоставлению индивидуальных услуг</w:t>
      </w:r>
      <w:r w:rsidRPr="00E601A7">
        <w:rPr>
          <w:rFonts w:ascii="Kyrghyz Times" w:eastAsia="Times New Roman" w:hAnsi="Kyrghyz Times" w:cs="Times New Roman"/>
          <w:b/>
          <w:i/>
          <w:sz w:val="21"/>
          <w:szCs w:val="21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color w:val="000000"/>
          <w:sz w:val="21"/>
          <w:szCs w:val="21"/>
          <w:lang w:eastAsia="ru-RU"/>
        </w:rPr>
        <w:t>Оборот торговли, гостиниц, ресторанов и объемы рыночных услуг</w:t>
      </w: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 xml:space="preserve"> формируется по данным сплошного статистического наблюдения за крупными и средними организациями, которые проводятся с месячной периодичностью, а также ежеквартальных обследований малых предприятий и выборочных обследований вещевых, смешанных и продовольственных рынков с распространением полученных данных на генеральную совокупность объектов наблюдения.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>Кроме того, в соответствии с требованиями системы национальных счетов эти показатели досчитываются на объемы скрытой деятельности.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>Динамику оборота торговли, гостиниц, ресторанов, объемы рыночных услуг и продажи отдельных товаров характеризуют индексы физического объема. Указанные индексы исчислены путем сопоставления величины оборота (услуг) за отчетный и базисный периоды в сопоставимых ценах.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color w:val="000000"/>
          <w:sz w:val="21"/>
          <w:szCs w:val="21"/>
          <w:lang w:eastAsia="ru-RU"/>
        </w:rPr>
        <w:t xml:space="preserve">Индексы физического объема </w:t>
      </w: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>– относительный показатель, характеризующий изменение оборота торговли, гостиниц, ресторанов и объемов рыночных услуг в сравниваемых периодах в сопоставимых ценах.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 xml:space="preserve">Этот показатель определяется как по общему объему оборота торговли, гостиниц, ресторанов и объемов рыночных услуг в разрезе районов, городов, областей и в целом по республике, так по объему оборота отдельных групп товаров и услуг также в территориальном разрезе. 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>Индекс физического объема оборота (услуг) используется статистическими органами для анализа изменения объема оборота торговли, гостиниц, ресторанов и объемов рыночных услуг, а также формирования основных макроэкономических показателей страны и ее регионов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color w:val="000000"/>
          <w:sz w:val="21"/>
          <w:szCs w:val="21"/>
          <w:lang w:eastAsia="ru-RU"/>
        </w:rPr>
        <w:t>Товарная структура товарооборота</w:t>
      </w: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 xml:space="preserve"> – объем каждого товара или товарной группы в общем объеме товарооборота. Дает качественную оценку процесса удовлетворения покупательского спроса и показывает распределение затрат населения на приобретение различных товаров.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</w:pPr>
      <w:r w:rsidRPr="00E601A7">
        <w:rPr>
          <w:rFonts w:ascii="Kyrghyz Times" w:eastAsia="Times New Roman" w:hAnsi="Kyrghyz Times" w:cs="Times New Roman"/>
          <w:b/>
          <w:i/>
          <w:color w:val="000000"/>
          <w:sz w:val="21"/>
          <w:szCs w:val="21"/>
          <w:lang w:eastAsia="ru-RU"/>
        </w:rPr>
        <w:t>Товарные запасы</w:t>
      </w:r>
      <w:r w:rsidRPr="00E601A7">
        <w:rPr>
          <w:rFonts w:ascii="Kyrghyz Times" w:eastAsia="Times New Roman" w:hAnsi="Kyrghyz Times" w:cs="Times New Roman"/>
          <w:i/>
          <w:color w:val="000000"/>
          <w:sz w:val="21"/>
          <w:szCs w:val="21"/>
          <w:lang w:eastAsia="ru-RU"/>
        </w:rPr>
        <w:t xml:space="preserve"> - товары, находящиеся в сфере торговли, а также у изготовителя и в пути, рассматриваемые как часть товарных ресурсов страны.</w:t>
      </w: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color w:val="000000"/>
          <w:sz w:val="21"/>
          <w:szCs w:val="21"/>
          <w:lang w:eastAsia="ru-RU"/>
        </w:rPr>
      </w:pPr>
    </w:p>
    <w:p w:rsidR="00582CAF" w:rsidRPr="00582CAF" w:rsidRDefault="00E601A7" w:rsidP="00A752D7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000080"/>
          <w:sz w:val="19"/>
          <w:szCs w:val="19"/>
          <w:lang w:eastAsia="ru-RU"/>
        </w:rPr>
      </w:pPr>
      <w:r w:rsidRPr="00E60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752D7" w:rsidRPr="009A7C56" w:rsidRDefault="00A752D7" w:rsidP="00A752D7">
      <w:pPr>
        <w:spacing w:before="120"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7C5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Кыргыз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Республикасынын</w:t>
      </w:r>
      <w:proofErr w:type="spellEnd"/>
      <w:r w:rsidRPr="009A7C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Улуттук</w:t>
      </w:r>
      <w:proofErr w:type="spellEnd"/>
      <w:r w:rsidRPr="009A7C56">
        <w:rPr>
          <w:rFonts w:ascii="Times New Roman" w:hAnsi="Times New Roman" w:cs="Times New Roman"/>
          <w:b/>
          <w:bCs/>
          <w:sz w:val="20"/>
          <w:szCs w:val="20"/>
        </w:rPr>
        <w:t xml:space="preserve"> статистика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комитетинин</w:t>
      </w:r>
      <w:proofErr w:type="spellEnd"/>
      <w:r w:rsidRPr="009A7C56">
        <w:rPr>
          <w:rFonts w:ascii="Times New Roman" w:hAnsi="Times New Roman" w:cs="Times New Roman"/>
          <w:b/>
          <w:bCs/>
          <w:sz w:val="20"/>
          <w:szCs w:val="20"/>
        </w:rPr>
        <w:br/>
        <w:t xml:space="preserve">2025-жылы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чыгара</w:t>
      </w:r>
      <w:proofErr w:type="spellEnd"/>
      <w:r w:rsidRPr="009A7C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турган</w:t>
      </w:r>
      <w:proofErr w:type="spellEnd"/>
      <w:r w:rsidRPr="009A7C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A7C56">
        <w:rPr>
          <w:rFonts w:ascii="Times New Roman" w:hAnsi="Times New Roman" w:cs="Times New Roman"/>
          <w:b/>
          <w:bCs/>
          <w:sz w:val="20"/>
          <w:szCs w:val="20"/>
        </w:rPr>
        <w:t>басылмалары</w:t>
      </w:r>
      <w:proofErr w:type="spellEnd"/>
    </w:p>
    <w:tbl>
      <w:tblPr>
        <w:tblW w:w="5369" w:type="pct"/>
        <w:tblInd w:w="-42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9"/>
        <w:gridCol w:w="1701"/>
        <w:gridCol w:w="2269"/>
      </w:tblGrid>
      <w:tr w:rsidR="00A752D7" w:rsidRPr="009A7C56" w:rsidTr="00542587">
        <w:trPr>
          <w:trHeight w:val="40"/>
          <w:tblHeader/>
        </w:trPr>
        <w:tc>
          <w:tcPr>
            <w:tcW w:w="3082" w:type="pct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A752D7" w:rsidRPr="009A7C56" w:rsidRDefault="00A752D7" w:rsidP="00542587">
            <w:pPr>
              <w:pStyle w:val="a9"/>
              <w:jc w:val="center"/>
              <w:rPr>
                <w:b/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A752D7" w:rsidRPr="009A7C56" w:rsidRDefault="00A752D7" w:rsidP="00542587">
            <w:pPr>
              <w:pStyle w:val="a9"/>
              <w:jc w:val="center"/>
              <w:rPr>
                <w:b/>
                <w:bCs/>
                <w:lang w:val="ky-KG"/>
              </w:rPr>
            </w:pPr>
            <w:proofErr w:type="spellStart"/>
            <w:r w:rsidRPr="009A7C56">
              <w:rPr>
                <w:b/>
                <w:bCs/>
              </w:rPr>
              <w:t>Мезгилд</w:t>
            </w:r>
            <w:proofErr w:type="spellEnd"/>
            <w:r w:rsidRPr="009A7C56">
              <w:rPr>
                <w:b/>
                <w:bCs/>
                <w:lang w:val="ky-KG"/>
              </w:rPr>
              <w:t>үү-</w:t>
            </w:r>
            <w:r w:rsidRPr="009A7C56">
              <w:rPr>
                <w:b/>
                <w:bCs/>
              </w:rPr>
              <w:t>л</w:t>
            </w:r>
            <w:r w:rsidRPr="009A7C56">
              <w:rPr>
                <w:b/>
                <w:bCs/>
                <w:lang w:val="ky-KG"/>
              </w:rPr>
              <w:t>үгү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A752D7" w:rsidRPr="009A7C56" w:rsidRDefault="00A752D7" w:rsidP="00542587">
            <w:pPr>
              <w:pStyle w:val="a9"/>
              <w:ind w:left="113" w:hanging="113"/>
              <w:jc w:val="center"/>
              <w:rPr>
                <w:b/>
                <w:bCs/>
                <w:lang w:val="ky-KG"/>
              </w:rPr>
            </w:pPr>
            <w:proofErr w:type="spellStart"/>
            <w:r w:rsidRPr="009A7C56">
              <w:rPr>
                <w:b/>
                <w:bCs/>
              </w:rPr>
              <w:t>Чыгаруу</w:t>
            </w:r>
            <w:proofErr w:type="spellEnd"/>
            <w:r w:rsidRPr="009A7C56">
              <w:rPr>
                <w:b/>
                <w:bCs/>
              </w:rPr>
              <w:t xml:space="preserve"> м</w:t>
            </w:r>
            <w:r w:rsidRPr="009A7C56">
              <w:rPr>
                <w:b/>
                <w:bCs/>
                <w:lang w:val="ky-KG"/>
              </w:rPr>
              <w:t>өө</w:t>
            </w:r>
            <w:r w:rsidRPr="009A7C56">
              <w:rPr>
                <w:b/>
                <w:bCs/>
              </w:rPr>
              <w:t>н</w:t>
            </w:r>
            <w:r w:rsidRPr="009A7C56">
              <w:rPr>
                <w:b/>
                <w:bCs/>
                <w:lang w:val="ky-KG"/>
              </w:rPr>
              <w:t>ө</w:t>
            </w:r>
            <w:r w:rsidRPr="009A7C56">
              <w:rPr>
                <w:b/>
                <w:bCs/>
              </w:rPr>
              <w:t>т</w:t>
            </w:r>
            <w:r w:rsidRPr="009A7C56">
              <w:rPr>
                <w:b/>
                <w:bCs/>
                <w:lang w:val="ky-KG"/>
              </w:rPr>
              <w:t>төрү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9A7C56">
              <w:rPr>
                <w:i/>
                <w:iCs/>
                <w:sz w:val="20"/>
                <w:szCs w:val="20"/>
                <w:lang w:val="ky-KG"/>
              </w:rPr>
              <w:t>Комплекстүү статистикалык басылмалар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7C1DF4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социалдык-экономикалык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абалы жөнүндө”басылмасы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айдын 22-санына чейин,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 xml:space="preserve">кварталдык-отчёттук айдан кийинки айдын 24-санына чейин 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 жана региондор” статистикалык бюллетени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кварталдык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кварталдан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30- санына чейин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“Кыргызстан” кыскача статистикалык маалымдамасы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апрель</w:t>
            </w:r>
          </w:p>
        </w:tc>
      </w:tr>
      <w:tr w:rsidR="00A752D7" w:rsidRPr="009A7C56" w:rsidTr="00542587">
        <w:trPr>
          <w:trHeight w:val="3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“Кыргызстан цифраларда”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A752D7" w:rsidRPr="009A7C56" w:rsidTr="00542587">
        <w:trPr>
          <w:trHeight w:val="3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Кыргыз Республикасынын Статистикалык Жылдыгы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A752D7" w:rsidRPr="009A7C56" w:rsidTr="00542587">
        <w:trPr>
          <w:trHeight w:val="3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“Кыргызстандагы туризм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30-июль</w:t>
            </w:r>
          </w:p>
        </w:tc>
      </w:tr>
      <w:tr w:rsidR="00A752D7" w:rsidRPr="009A7C56" w:rsidTr="00542587">
        <w:trPr>
          <w:trHeight w:val="3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чакан жана орто ишкерлик 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A752D7" w:rsidRPr="009A7C56" w:rsidTr="00542587">
        <w:trPr>
          <w:trHeight w:val="3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чет өлкөлүк инвестициялары бар ишканалардын ишмердиги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A752D7" w:rsidRPr="009A7C56" w:rsidTr="00542587">
        <w:tc>
          <w:tcPr>
            <w:tcW w:w="3082" w:type="pct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821" w:type="pct"/>
            <w:vAlign w:val="bottom"/>
          </w:tcPr>
          <w:p w:rsidR="00A752D7" w:rsidRPr="009A7C56" w:rsidRDefault="00A752D7" w:rsidP="00542587">
            <w:pPr>
              <w:pStyle w:val="a9"/>
              <w:rPr>
                <w:lang w:val="ky-KG"/>
              </w:rPr>
            </w:pPr>
          </w:p>
        </w:tc>
        <w:tc>
          <w:tcPr>
            <w:tcW w:w="1096" w:type="pct"/>
            <w:vAlign w:val="bottom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9A7C56">
              <w:rPr>
                <w:i/>
                <w:iCs/>
                <w:sz w:val="20"/>
                <w:szCs w:val="20"/>
                <w:lang w:val="ky-KG"/>
              </w:rPr>
              <w:t>Улуттук эсептер с</w:t>
            </w:r>
            <w:proofErr w:type="spellStart"/>
            <w:r w:rsidRPr="009A7C56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улуттук эсептери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дека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брь</w:t>
            </w:r>
            <w:proofErr w:type="spellEnd"/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Ресурстар-Пайдал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ан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уу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таблицалары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(РПТ) 2023-ж.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жыйнагы</w:t>
            </w:r>
            <w:proofErr w:type="spellEnd"/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март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9A7C56">
              <w:rPr>
                <w:i/>
                <w:iCs/>
                <w:sz w:val="20"/>
                <w:szCs w:val="20"/>
                <w:lang w:val="ky-KG"/>
              </w:rPr>
              <w:t xml:space="preserve">Финансы статистикасы 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“Экономиканын реалдуу секторунун ишканаларынын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пайдасынын калыптанышы”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rPr>
                <w:lang w:val="ky-KG"/>
              </w:rPr>
              <w:t>жылдык</w:t>
            </w:r>
            <w:r w:rsidRPr="009A7C56">
              <w:br/>
              <w:t>квартал</w:t>
            </w:r>
            <w:r w:rsidRPr="009A7C56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 июнь, 8 сентябрь,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“Экономиканын реалдуу секторундагы ишканалардын өз ара эсептешүүлөрүнүн абалы”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11 июнь, 8 сентябрь,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“Экономиканын реалдуу секторунун ишканаларынын товардык-материалдык баалуулуктарынын запастары”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11 июнь, 8 сентябрь,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“Экономиканын финансылык секторунун ишканаларынын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иш-аракеттеринин негизги көрсөткүчтөрү”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0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апрел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май, 19 август,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19 ноябрь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Республикасынын калкка микрокредиттерди берүү жөнүндөгү”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апрел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20 май, 19 август,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19 ноябрь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Республикасынын лизинг уюмдарынын ишмердигинин негизги көрсөткүчтөрү”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и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25 март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ишканаларынын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 xml:space="preserve">финансысы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сентябрь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2"/>
              <w:keepNext w:val="0"/>
              <w:widowControl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9A7C56">
              <w:rPr>
                <w:i/>
                <w:iCs/>
                <w:sz w:val="20"/>
                <w:szCs w:val="20"/>
                <w:lang w:val="ky-KG"/>
              </w:rPr>
              <w:lastRenderedPageBreak/>
              <w:t>Өнөр жай с</w:t>
            </w:r>
            <w:proofErr w:type="spellStart"/>
            <w:r w:rsidRPr="009A7C56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a9"/>
              <w:widowControl w:val="0"/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widowControl w:val="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“Өнөр жай боюнча негизги экономикалык көрсөткүчтөр”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16-санына чейин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өнөр жайы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октябрь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“Отун энергетикалык теңдем”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декабрь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widowControl w:val="0"/>
              <w:ind w:left="226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 xml:space="preserve">Курулуш жана 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инвестици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я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pStyle w:val="a9"/>
              <w:widowControl w:val="0"/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widowControl w:val="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“2024-жылдын инвестиция жана курулуш боюнча жылдык отчётту иштеп чыгуунун негизги жыйынтыктары”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инвестициялар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A752D7" w:rsidRPr="009A7C56" w:rsidTr="00542587">
        <w:trPr>
          <w:cantSplit/>
        </w:trPr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keepLines/>
              <w:ind w:left="113" w:hanging="11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ky-KG"/>
              </w:rPr>
            </w:pP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Айыл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чарба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статистикасы</w:t>
            </w:r>
            <w:proofErr w:type="spellEnd"/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 Кыргыз Республикасынын аймагында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мал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чарба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продуктуларынын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негизги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түрлө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р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өндүрүү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9-санына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“Түшүмдү жыйноо, күздүк өсүмдүктөрдү себүү,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тоңдурманы айдоо”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июлд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ан жылдын аягына чейин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9-санына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“2024-жылы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айыл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чарба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өсүмдүктөрүнүн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түшүмүн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үн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жыйн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алышы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жөнүндө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ь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13-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областары жана районунда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2025-жылы түшүмү үчүн айыл чарба өсүмдүктөрүнүн себүү аянттары”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 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13-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айыл чарбасы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28-октя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брь</w:t>
            </w:r>
            <w:proofErr w:type="spellEnd"/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“Тоют өндүрүү жөнүндө отчёт”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20-янва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рь</w:t>
            </w:r>
            <w:proofErr w:type="spellEnd"/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“2024-жылдын аягына карата малдардын жана үй канаттуулардын эсебинин жыйынтыгы”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13-февраль</w:t>
            </w:r>
          </w:p>
        </w:tc>
      </w:tr>
      <w:tr w:rsidR="00A752D7" w:rsidRPr="007C1DF4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"Кыргыз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Республикасынын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облустары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жана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райондору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боюнча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жаздык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өсүмдүктөрдү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себүү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жана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жазгы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талаа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иштери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бюллетень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отчеттук мезгилден кийинки 9-күнү марттан июнга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"Кыргыз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Республикасында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айдоо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жерлерин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пайдалануу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аналитикалык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сереп</w:t>
            </w:r>
            <w:proofErr w:type="spellEnd"/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июлда</w:t>
            </w:r>
            <w:proofErr w:type="spellEnd"/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"Көп жылдык (мөмө-жемиш) бак-дарактардын жана жүзүмзарлардын бөлүнгөн аянттары" Статистикалык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бюллетень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 аналитикалык сереп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июлда</w:t>
            </w:r>
            <w:proofErr w:type="spellEnd"/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"Айыл чарба продукциясын иш жүзүндө өндүрүү жана дүң сатуу жөнүндө" Экспресс-маалымат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отчеттук айдан кийинки айдын 8-күнү </w:t>
            </w:r>
          </w:p>
        </w:tc>
      </w:tr>
      <w:tr w:rsidR="00A752D7" w:rsidRPr="009A7C56" w:rsidTr="00542587">
        <w:tc>
          <w:tcPr>
            <w:tcW w:w="3904" w:type="pct"/>
            <w:gridSpan w:val="2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Керектөө рыногунун жана кызмат көрсөтүүлөрдүн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“Сооданын жана кызмат көрсөтүүлөрдүн негизги көрсөткүчтөрү”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Республикасындагы базарлардын жана соода борборлорунун ишмердүүлүгүнүн негизги көрсөткүчтөрү”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кварталдык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отчёттук мезгилден кийинки айдын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5-санына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lastRenderedPageBreak/>
              <w:t xml:space="preserve">“Кыргыз Республикасынын керектөө рыногу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30-сентябрь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маалыматтык-коммуникациялык технологиялар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30-октябрь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keepNext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Баалардын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 боюнча товарларга жана кызмат көрсөтүүлөргө керектөө бааларынын индекси” с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бюллетени 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 xml:space="preserve">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Республикасындагы баалар”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жарым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жылдык</w:t>
            </w:r>
            <w:proofErr w:type="spellEnd"/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март, отчёттук мезгилден кийинки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45-санына чейин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Эмгек жана иш менен камсыз кылуу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“Жумуштуулук жана жумушсуздук” 2024-жылы үй чарбанын бюджеттеринин жана жумушчу күчүнүн интеграцияланган изилдөөсүнүн жыйынтыгы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25-октябрь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“2024-жылдагы кызматкерлердин саны жана эмгек акысы туралуу жылдык отчеттордун жыйынтыгы”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20-сентябрь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Үй чарбаларын тандап изилдөө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Кыргыз Республикасынын азык-түлүк коопсуздук жана кедейчилик боюнча маалыматтык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калкынын жашоо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 xml:space="preserve">деңгээли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29-ноябрь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  <w:vAlign w:val="center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Тышкы жана өз ара соода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товарлардын тышкы жана өз ара соодасы”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45-санына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“Кыргыз Республикасындагы товарлардын ЕАЭБнын мүчө-мамлекеттери менен  өз ара соодасы”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статистикалык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бюллетен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отчёттук мезгилден кийинки айдын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>45-санына чейин</w:t>
            </w: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тышкы жана өз ара соодасы -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30-сентябрь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  <w:vAlign w:val="center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Демография</w:t>
            </w: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лык</w:t>
            </w: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статистика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демографиялык жылдыгы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Социал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дык</w:t>
            </w: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статистика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Республикасынын аялдары жана эркектери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  <w:t xml:space="preserve">2020-2024” жыйнагы 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</w:tr>
      <w:tr w:rsidR="00A752D7" w:rsidRPr="009A7C56" w:rsidTr="00542587">
        <w:tc>
          <w:tcPr>
            <w:tcW w:w="3082" w:type="pct"/>
            <w:shd w:val="clear" w:color="auto" w:fill="D9D9D9" w:themeFill="background1" w:themeFillShade="D9"/>
            <w:vAlign w:val="center"/>
          </w:tcPr>
          <w:p w:rsidR="00A752D7" w:rsidRPr="009A7C56" w:rsidRDefault="00A752D7" w:rsidP="00542587">
            <w:pPr>
              <w:keepLines/>
              <w:ind w:left="113" w:hanging="11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Айлана-чөйрө с</w:t>
            </w:r>
            <w:proofErr w:type="spellStart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9A7C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c>
          <w:tcPr>
            <w:tcW w:w="3082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“Кыргыз Республикасындагы айлана-чөйрө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31-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</w:tbl>
    <w:p w:rsidR="00A752D7" w:rsidRPr="009A7C56" w:rsidRDefault="00A752D7" w:rsidP="00A752D7">
      <w:pPr>
        <w:spacing w:before="120"/>
        <w:rPr>
          <w:rFonts w:ascii="Times New Roman" w:hAnsi="Times New Roman" w:cs="Times New Roman"/>
          <w:color w:val="000080"/>
          <w:sz w:val="20"/>
          <w:szCs w:val="20"/>
        </w:rPr>
      </w:pP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 xml:space="preserve">Кыргыз </w:t>
      </w:r>
      <w:proofErr w:type="spellStart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Республикасынын</w:t>
      </w:r>
      <w:proofErr w:type="spellEnd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 xml:space="preserve"> </w:t>
      </w:r>
      <w:proofErr w:type="spellStart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Улуттук</w:t>
      </w:r>
      <w:proofErr w:type="spellEnd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 xml:space="preserve"> статистика </w:t>
      </w:r>
      <w:proofErr w:type="spellStart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комитети</w:t>
      </w:r>
      <w:proofErr w:type="spellEnd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 xml:space="preserve">, 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  <w:lang w:val="en-US"/>
        </w:rPr>
        <w:t>www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.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  <w:lang w:val="en-US"/>
        </w:rPr>
        <w:t>stat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.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  <w:lang w:val="en-US"/>
        </w:rPr>
        <w:t>gov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.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  <w:lang w:val="en-US"/>
        </w:rPr>
        <w:t>kg</w:t>
      </w:r>
    </w:p>
    <w:p w:rsidR="00174D9A" w:rsidRPr="009A7C56" w:rsidRDefault="00174D9A" w:rsidP="00B62078">
      <w:pPr>
        <w:spacing w:before="120" w:after="1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7C56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752D7" w:rsidRPr="009A7C56" w:rsidRDefault="00A752D7" w:rsidP="00A752D7">
      <w:pPr>
        <w:spacing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7C56">
        <w:rPr>
          <w:rFonts w:ascii="Times New Roman" w:hAnsi="Times New Roman" w:cs="Times New Roman"/>
          <w:b/>
          <w:bCs/>
          <w:sz w:val="20"/>
          <w:szCs w:val="20"/>
        </w:rPr>
        <w:lastRenderedPageBreak/>
        <w:t>ПУБЛИКАЦИИ НАЦСТАТКОМА КЫРГЫЗСКОЙ РЕСПУБЛИКИ,</w:t>
      </w:r>
      <w:r w:rsidRPr="009A7C56">
        <w:rPr>
          <w:rFonts w:ascii="Times New Roman" w:hAnsi="Times New Roman" w:cs="Times New Roman"/>
          <w:b/>
          <w:bCs/>
          <w:sz w:val="20"/>
          <w:szCs w:val="20"/>
        </w:rPr>
        <w:br/>
        <w:t>ПЛАНИРУЕМЫЕ К ИЗДАНИЮ в 2025 году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10"/>
        <w:gridCol w:w="1265"/>
        <w:gridCol w:w="2163"/>
      </w:tblGrid>
      <w:tr w:rsidR="00A752D7" w:rsidRPr="009A7C56" w:rsidTr="00542587">
        <w:trPr>
          <w:trHeight w:val="40"/>
          <w:tblHeader/>
        </w:trPr>
        <w:tc>
          <w:tcPr>
            <w:tcW w:w="32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DD6EE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1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Сроки </w:t>
            </w:r>
            <w:r w:rsidRPr="009A7C5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издания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Комплексные статистические издания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Публикация «О социально-экономическом положении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до 22 числа,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квартальная - до 24 числа 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отчетного месяца 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«Кыргызская Республика и регионы»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30 числа после отчетного квартала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Краткий статистический справочник «Кыргызстан»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«Кыргызстан в цифрах»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A752D7" w:rsidRPr="009A7C56" w:rsidTr="00542587">
        <w:trPr>
          <w:trHeight w:val="236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ежегодник Кыргызской Республики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A752D7" w:rsidRPr="009A7C56" w:rsidTr="00542587">
        <w:trPr>
          <w:trHeight w:val="236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«Туризм в Кыргызстане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1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«Малое и среднее предпринимательство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в Кыргызской Республике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«Деятельность предприятий с иностранными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инвестициями в Кыргызской Республике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14549790"/>
            <w:bookmarkStart w:id="1" w:name="_Toc15145969"/>
            <w:bookmarkStart w:id="2" w:name="_Toc15475477"/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национальных счетов</w:t>
            </w:r>
            <w:bookmarkEnd w:id="0"/>
            <w:bookmarkEnd w:id="1"/>
            <w:bookmarkEnd w:id="2"/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«Национальные счета Кыргызской Республики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таблицы «Ресурсы-Использование» за 2023 год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52D7" w:rsidRPr="009A7C56" w:rsidRDefault="00A752D7" w:rsidP="00542587">
            <w:pPr>
              <w:pStyle w:val="a9"/>
            </w:pPr>
            <w:r w:rsidRPr="009A7C56"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март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финансов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«Формирование прибыли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предприятий реального сектора экономики»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t>годовая</w:t>
            </w:r>
            <w:r w:rsidRPr="009A7C56">
              <w:br/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10 июня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 июня, 8 сентября,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«Состояние взаимных расчетов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предприятий реального сектора экономики»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10 июня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11 июня, 8 сентября,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«Запасы товарно-материальных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ценностей предприятий реального сектора экономики»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10 июня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11 июня, 8 сентября,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 декабря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«Основные показатели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 предприятий финансового сектора экономики»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0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апреля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мая, 19 августа,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19 ноября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«О микрокредитовании населения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1 апреля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20 мая, 19 августа,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19 ноября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«Об основных показателях деятельности лизинговых организаций 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25 марта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«Финансы предприятий Кыргызской Республики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промышленности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Статистический бюллетень «Основные экономические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показатели по промышленности»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до 16 числа после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«Промышленность Кыргызской Республики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«Топливно-энергетический баланс 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строительства и инвестиций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«Основные итоги инвестиционной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и строительной деятельности в 2024 году»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14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«Инвестиции в Кыргызской Республике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keepLines/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сельского хозяйства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«Производство основных видов продуктов животноводства всеми категориями хозяйств в разрезе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областей и районов 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на 9-й день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после отчетного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«Сводка о ходе уборки урожая сельскохозяйственных культур, севе озимых, вспашке зяби»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 1 июля до конца года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на 9-й день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после отчетного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«О сборе урожая сельскохозяйственных культур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 областям и районам Кыргызской Республики в 2024 году»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годовая 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январ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keepNext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«Заключительный отчет о размерах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посевных площадей сельскохозяйственных культур под урожай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по областям и районам Кыргызской Республики в 202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5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году»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13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«Сельское хозяйство Кыргызской Республики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pStyle w:val="a9"/>
            </w:pPr>
            <w:r w:rsidRPr="009A7C56">
              <w:t xml:space="preserve">годовая 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28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«Отчет о заготовке кормов»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январ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«Итоги единовременного учета скота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 домашней птицы на конец 2024 года»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13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Статистический бюллетень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«Посев яровых культур и весенне-полевые работы по областям и районам Кыргызской Республики»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ежемесячно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 марта по июнь на 9-й день, следующий за отчетным периодом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обзор «Использование пашни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в Кыргызской Республике»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е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жегодно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в июле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бюллетень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bCs/>
                <w:sz w:val="20"/>
                <w:szCs w:val="20"/>
              </w:rPr>
              <w:t>аналитический обзор</w:t>
            </w:r>
            <w:r w:rsidRPr="009A7C56">
              <w:rPr>
                <w:rFonts w:ascii="Times New Roman" w:hAnsi="Times New Roman" w:cs="Times New Roman"/>
                <w:bCs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«Обособленно расположенные площади многолетних (плодово-ягодных) насаждений и виноградников»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е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жегодно</w:t>
            </w:r>
            <w:proofErr w:type="spellEnd"/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в июле</w:t>
            </w:r>
          </w:p>
        </w:tc>
      </w:tr>
      <w:tr w:rsidR="00A752D7" w:rsidRPr="009A7C56" w:rsidTr="00542587">
        <w:trPr>
          <w:trHeight w:val="3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bCs/>
                <w:sz w:val="20"/>
                <w:szCs w:val="20"/>
              </w:rPr>
              <w:t>Экспресс-информация</w:t>
            </w:r>
            <w:r w:rsidRPr="009A7C56">
              <w:rPr>
                <w:rFonts w:ascii="Times New Roman" w:hAnsi="Times New Roman" w:cs="Times New Roman"/>
                <w:bCs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«О фактическом производстве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 валовом выпуске сельскохозяйственной продукции»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ежемесячно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8 числа месяца,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следующего за отчетным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периодом</w:t>
            </w:r>
          </w:p>
        </w:tc>
      </w:tr>
      <w:tr w:rsidR="00A752D7" w:rsidRPr="009A7C56" w:rsidTr="00542587"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потребительского рынка и услуг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«Основные показатели торговли и услуг»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до 20 числа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«Основные показатели деятельности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рынков и торговых центров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в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Кыргызской Республик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е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на 3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5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день 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Сборник «Потребительский рынок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Кыргызской Республики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Сборник «Информационно-коммуникационные технологии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в Кыргызской Республике 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цен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«Индексы потребительских цен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товары и услуги в Кыргызской Республике» 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на 12 день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после отчетного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«Цены в Кыргызской Республике»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г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одовая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полугодовая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м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 на 45 день после 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труда и занятости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«Занятость и безработица». Итоги интегрированного обследования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бюджетов домашних хозяйств и рабочей силы в 2024 году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25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«Итоги годовых отчетов по численности работников и заработной плате в 2024 году» 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Статистика выборочных обследований </w:t>
            </w: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  <w:lang w:val="ky-KG"/>
              </w:rPr>
              <w:t>домашних хозяйств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Информационный бюллетень Кыргызской Республики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по продовольственной безопасности и бедности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на 55 день 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Сборник «Уровень жизни населения Кыргызской Республики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>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keepNext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29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ноябр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внешней и взаимной торговли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Статистический бюллетень «Внешняя и взаимная торговля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Кыргызской Республики товарами»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на 45 день 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Статистический бюллетень «Взаимная торговля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Кыргызской Республики товарами с государствами-членами ЕАЭС»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месячная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на 45 день после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Сборник «Внешняя и взаимная торговля Кыргызской Республики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30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Демографическая статистика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 xml:space="preserve">Сборник «Демографический ежегодник Кыргызской Республики 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br/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A752D7" w:rsidRPr="009A7C56" w:rsidRDefault="00A752D7" w:rsidP="00542587">
            <w:pPr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Социальная статистика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«Женщины и мужчины Кыргызской Республики 2020 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</w:tr>
      <w:tr w:rsidR="00A752D7" w:rsidRPr="009A7C56" w:rsidTr="00542587">
        <w:trPr>
          <w:trHeight w:val="40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keepLines/>
              <w:ind w:left="113" w:hanging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Статистика окружающей среды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752D7" w:rsidRPr="009A7C56" w:rsidTr="00542587">
        <w:trPr>
          <w:trHeight w:val="152"/>
        </w:trPr>
        <w:tc>
          <w:tcPr>
            <w:tcW w:w="322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Сборник «Окружающая среда в Кыргызской Республике</w:t>
            </w: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2020-2024»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52D7" w:rsidRPr="009A7C56" w:rsidRDefault="00A752D7" w:rsidP="00542587">
            <w:pPr>
              <w:ind w:left="113"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31 </w:t>
            </w:r>
            <w:proofErr w:type="spellStart"/>
            <w:r w:rsidRPr="009A7C56">
              <w:rPr>
                <w:rFonts w:ascii="Times New Roman" w:hAnsi="Times New Roman" w:cs="Times New Roman"/>
                <w:sz w:val="20"/>
                <w:szCs w:val="20"/>
              </w:rPr>
              <w:t>октябр</w:t>
            </w:r>
            <w:proofErr w:type="spellEnd"/>
            <w:r w:rsidRPr="009A7C5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я</w:t>
            </w:r>
          </w:p>
        </w:tc>
      </w:tr>
    </w:tbl>
    <w:p w:rsidR="00A752D7" w:rsidRPr="009A7C56" w:rsidRDefault="00A752D7" w:rsidP="00A752D7">
      <w:pPr>
        <w:spacing w:before="200" w:after="120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Национальный статистический комитет Кыргызской Республики, www.stat.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  <w:lang w:val="en-US"/>
        </w:rPr>
        <w:t>gov</w:t>
      </w:r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.</w:t>
      </w:r>
      <w:proofErr w:type="spellStart"/>
      <w:r w:rsidRPr="009A7C56">
        <w:rPr>
          <w:rFonts w:ascii="Times New Roman" w:hAnsi="Times New Roman" w:cs="Times New Roman"/>
          <w:b/>
          <w:bCs/>
          <w:color w:val="000080"/>
          <w:sz w:val="20"/>
          <w:szCs w:val="20"/>
        </w:rPr>
        <w:t>kg</w:t>
      </w:r>
      <w:proofErr w:type="spellEnd"/>
    </w:p>
    <w:p w:rsidR="00A752D7" w:rsidRPr="009A7C56" w:rsidRDefault="00A752D7" w:rsidP="00B62078">
      <w:pPr>
        <w:spacing w:before="120" w:after="1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2D7" w:rsidRPr="009A7C56" w:rsidRDefault="00A752D7" w:rsidP="00B62078">
      <w:pPr>
        <w:spacing w:before="120" w:after="1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2D7" w:rsidRDefault="00A752D7" w:rsidP="00B62078">
      <w:pPr>
        <w:spacing w:before="120" w:after="120"/>
        <w:jc w:val="center"/>
        <w:rPr>
          <w:rFonts w:ascii="Kyrghyz Times" w:eastAsia="Times New Roman" w:hAnsi="Kyrghyz Times" w:cs="Times New Roman"/>
          <w:sz w:val="24"/>
          <w:szCs w:val="20"/>
          <w:lang w:eastAsia="ru-RU"/>
        </w:rPr>
      </w:pPr>
    </w:p>
    <w:p w:rsidR="00A752D7" w:rsidRDefault="00A752D7" w:rsidP="00B62078">
      <w:pPr>
        <w:spacing w:before="120" w:after="120"/>
        <w:jc w:val="center"/>
        <w:rPr>
          <w:rFonts w:ascii="Kyrghyz Times" w:eastAsia="Times New Roman" w:hAnsi="Kyrghyz Times" w:cs="Times New Roman"/>
          <w:sz w:val="24"/>
          <w:szCs w:val="20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sz w:val="24"/>
          <w:szCs w:val="20"/>
          <w:lang w:eastAsia="ru-RU"/>
        </w:rPr>
      </w:pPr>
      <w:r w:rsidRPr="00E601A7">
        <w:rPr>
          <w:rFonts w:ascii="Kyrghyz Times" w:eastAsia="Times New Roman" w:hAnsi="Kyrghyz Times" w:cs="Times New Roman"/>
          <w:sz w:val="24"/>
          <w:szCs w:val="20"/>
          <w:lang w:eastAsia="ru-RU"/>
        </w:rPr>
        <w:t>КЫРГЫЗ РЕСПУБЛИКАСЫНЫН КЕРЕКТ££ РЫНОГУ</w:t>
      </w: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sz w:val="24"/>
          <w:szCs w:val="20"/>
          <w:lang w:val="ky-KG" w:eastAsia="ru-RU"/>
        </w:rPr>
      </w:pPr>
      <w:r w:rsidRPr="00E601A7">
        <w:rPr>
          <w:rFonts w:ascii="Kyrghyz Times" w:eastAsia="Times New Roman" w:hAnsi="Kyrghyz Times" w:cs="Times New Roman"/>
          <w:sz w:val="24"/>
          <w:szCs w:val="20"/>
          <w:lang w:eastAsia="ru-RU"/>
        </w:rPr>
        <w:t>201</w:t>
      </w:r>
      <w:r w:rsidR="00976073">
        <w:rPr>
          <w:rFonts w:ascii="Kyrghyz Times" w:eastAsia="Times New Roman" w:hAnsi="Kyrghyz Times" w:cs="Times New Roman"/>
          <w:sz w:val="24"/>
          <w:szCs w:val="20"/>
          <w:lang w:eastAsia="ru-RU"/>
        </w:rPr>
        <w:t>9</w:t>
      </w:r>
      <w:r w:rsidRPr="00E601A7">
        <w:rPr>
          <w:rFonts w:ascii="Kyrghyz Times" w:eastAsia="Times New Roman" w:hAnsi="Kyrghyz Times" w:cs="Times New Roman"/>
          <w:sz w:val="24"/>
          <w:szCs w:val="20"/>
          <w:lang w:eastAsia="ru-RU"/>
        </w:rPr>
        <w:t>-20</w:t>
      </w:r>
      <w:r w:rsidRPr="00E601A7">
        <w:rPr>
          <w:rFonts w:ascii="Kyrghyz Times" w:eastAsia="Times New Roman" w:hAnsi="Kyrghyz Times" w:cs="Times New Roman"/>
          <w:sz w:val="24"/>
          <w:szCs w:val="20"/>
          <w:lang w:val="ky-KG" w:eastAsia="ru-RU"/>
        </w:rPr>
        <w:t>2</w:t>
      </w:r>
      <w:r w:rsidR="00976073">
        <w:rPr>
          <w:rFonts w:ascii="Kyrghyz Times" w:eastAsia="Times New Roman" w:hAnsi="Kyrghyz Times" w:cs="Times New Roman"/>
          <w:sz w:val="24"/>
          <w:szCs w:val="20"/>
          <w:lang w:val="ky-KG" w:eastAsia="ru-RU"/>
        </w:rPr>
        <w:t>3</w:t>
      </w: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sz w:val="24"/>
          <w:szCs w:val="20"/>
          <w:lang w:eastAsia="ru-RU"/>
        </w:rPr>
      </w:pPr>
      <w:r w:rsidRPr="00E601A7">
        <w:rPr>
          <w:rFonts w:ascii="Kyrghyz Times" w:eastAsia="Times New Roman" w:hAnsi="Kyrghyz Times" w:cs="Times New Roman"/>
          <w:i/>
          <w:sz w:val="24"/>
          <w:szCs w:val="20"/>
          <w:lang w:eastAsia="ru-RU"/>
        </w:rPr>
        <w:t>ПОТРЕБИТЕЛЬСКИЙ РЫНОК КЫРГЫЗСКОЙ РЕСПУБЛИКИ</w:t>
      </w: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sz w:val="24"/>
          <w:szCs w:val="24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sz w:val="24"/>
          <w:szCs w:val="24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Жылдык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чыгарылыш</w:t>
      </w:r>
      <w:proofErr w:type="spellEnd"/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>Годовая публикация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i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Жооптуу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чыгаруучу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>:</w:t>
      </w: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>Ответственный за выпуск: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i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val="ky-KG" w:eastAsia="ru-RU"/>
        </w:rPr>
      </w:pPr>
      <w:r w:rsidRPr="00E601A7">
        <w:rPr>
          <w:rFonts w:ascii="Kyrghyz Times" w:eastAsia="Times New Roman" w:hAnsi="Kyrghyz Times" w:cs="Times New Roman"/>
          <w:lang w:val="ky-KG" w:eastAsia="ru-RU"/>
        </w:rPr>
        <w:t>Л. Текеева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Компьютердик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калыптоо</w:t>
      </w:r>
      <w:proofErr w:type="spellEnd"/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>Компьютерная верстка</w:t>
      </w:r>
    </w:p>
    <w:p w:rsidR="00E601A7" w:rsidRPr="00E601A7" w:rsidRDefault="00976073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proofErr w:type="spellStart"/>
      <w:r>
        <w:rPr>
          <w:rFonts w:ascii="Kyrghyz Times" w:eastAsia="Times New Roman" w:hAnsi="Kyrghyz Times" w:cs="Times New Roman"/>
          <w:lang w:eastAsia="ru-RU"/>
        </w:rPr>
        <w:t>А</w:t>
      </w:r>
      <w:r w:rsidR="00E601A7" w:rsidRPr="00E601A7">
        <w:rPr>
          <w:rFonts w:ascii="Kyrghyz Times" w:eastAsia="Times New Roman" w:hAnsi="Kyrghyz Times" w:cs="Times New Roman"/>
          <w:lang w:eastAsia="ru-RU"/>
        </w:rPr>
        <w:t>.</w:t>
      </w:r>
      <w:r>
        <w:rPr>
          <w:rFonts w:ascii="Kyrghyz Times" w:eastAsia="Times New Roman" w:hAnsi="Kyrghyz Times" w:cs="Times New Roman"/>
          <w:lang w:eastAsia="ru-RU"/>
        </w:rPr>
        <w:t>Асанкано</w:t>
      </w:r>
      <w:r w:rsidR="00E601A7" w:rsidRPr="00E601A7">
        <w:rPr>
          <w:rFonts w:ascii="Kyrghyz Times" w:eastAsia="Times New Roman" w:hAnsi="Kyrghyz Times" w:cs="Times New Roman"/>
          <w:lang w:eastAsia="ru-RU"/>
        </w:rPr>
        <w:t>ва</w:t>
      </w:r>
      <w:proofErr w:type="spellEnd"/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А.Жолдошева</w:t>
      </w:r>
      <w:proofErr w:type="spellEnd"/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lang w:eastAsia="ru-RU"/>
        </w:rPr>
        <w:t>Тел.:(+996312) 324725</w:t>
      </w:r>
      <w:r w:rsidR="00487158">
        <w:rPr>
          <w:rFonts w:ascii="Kyrghyz Times" w:eastAsia="Times New Roman" w:hAnsi="Kyrghyz Times" w:cs="Times New Roman"/>
          <w:lang w:eastAsia="ru-RU"/>
        </w:rPr>
        <w:t>, 664166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lang w:eastAsia="ru-RU"/>
        </w:rPr>
        <w:t>202</w:t>
      </w:r>
      <w:r w:rsidR="00976073">
        <w:rPr>
          <w:rFonts w:ascii="Kyrghyz Times" w:eastAsia="Times New Roman" w:hAnsi="Kyrghyz Times" w:cs="Times New Roman"/>
          <w:lang w:eastAsia="ru-RU"/>
        </w:rPr>
        <w:t>4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-ж. </w:t>
      </w:r>
      <w:r w:rsidR="00976073">
        <w:rPr>
          <w:rFonts w:ascii="Kyrghyz Times" w:eastAsia="Times New Roman" w:hAnsi="Kyrghyz Times" w:cs="Times New Roman"/>
          <w:lang w:val="ky-KG" w:eastAsia="ru-RU"/>
        </w:rPr>
        <w:t>30</w:t>
      </w:r>
      <w:r w:rsidR="00487158" w:rsidRPr="00575D6C">
        <w:rPr>
          <w:rFonts w:ascii="Kyrghyz Times" w:eastAsia="Times New Roman" w:hAnsi="Kyrghyz Times" w:cs="Times New Roman"/>
          <w:lang w:val="ky-KG" w:eastAsia="ru-RU"/>
        </w:rPr>
        <w:t>-сентябрда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басып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чыгарууга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кол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коюлду</w:t>
      </w:r>
      <w:proofErr w:type="spellEnd"/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i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Подписано в печать: </w:t>
      </w:r>
      <w:r w:rsidR="00976073">
        <w:rPr>
          <w:rFonts w:ascii="Kyrghyz Times" w:eastAsia="Times New Roman" w:hAnsi="Kyrghyz Times" w:cs="Times New Roman"/>
          <w:i/>
          <w:lang w:val="ky-KG" w:eastAsia="ru-RU"/>
        </w:rPr>
        <w:t>30</w:t>
      </w:r>
      <w:r w:rsidR="00487158">
        <w:rPr>
          <w:rFonts w:ascii="Kyrghyz Times" w:eastAsia="Times New Roman" w:hAnsi="Kyrghyz Times" w:cs="Times New Roman"/>
          <w:i/>
          <w:lang w:val="ky-KG" w:eastAsia="ru-RU"/>
        </w:rPr>
        <w:t xml:space="preserve"> сентября</w:t>
      </w: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 202</w:t>
      </w:r>
      <w:r w:rsidR="00976073">
        <w:rPr>
          <w:rFonts w:ascii="Kyrghyz Times" w:eastAsia="Times New Roman" w:hAnsi="Kyrghyz Times" w:cs="Times New Roman"/>
          <w:i/>
          <w:lang w:val="ky-KG" w:eastAsia="ru-RU"/>
        </w:rPr>
        <w:t>4</w:t>
      </w:r>
      <w:r w:rsidRPr="00E601A7">
        <w:rPr>
          <w:rFonts w:ascii="Kyrghyz Times" w:eastAsia="Times New Roman" w:hAnsi="Kyrghyz Times" w:cs="Times New Roman"/>
          <w:i/>
          <w:lang w:eastAsia="ru-RU"/>
        </w:rPr>
        <w:t>г.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i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>Формат А4 60х84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Офсеттик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басуу</w:t>
      </w:r>
      <w:proofErr w:type="spellEnd"/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Печать офсетная                                                                            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К¼л¼м 14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б.б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lang w:eastAsia="ru-RU"/>
        </w:rPr>
        <w:t xml:space="preserve">Тираж </w:t>
      </w:r>
      <w:r w:rsidR="00487158">
        <w:rPr>
          <w:rFonts w:ascii="Kyrghyz Times" w:eastAsia="Times New Roman" w:hAnsi="Kyrghyz Times" w:cs="Times New Roman"/>
          <w:lang w:eastAsia="ru-RU"/>
        </w:rPr>
        <w:t>17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нуска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                                                                             </w:t>
      </w: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Объем 14 </w:t>
      </w:r>
      <w:proofErr w:type="spellStart"/>
      <w:r w:rsidRPr="00E601A7">
        <w:rPr>
          <w:rFonts w:ascii="Kyrghyz Times" w:eastAsia="Times New Roman" w:hAnsi="Kyrghyz Times" w:cs="Times New Roman"/>
          <w:i/>
          <w:lang w:eastAsia="ru-RU"/>
        </w:rPr>
        <w:t>п.л</w:t>
      </w:r>
      <w:proofErr w:type="spellEnd"/>
      <w:r w:rsidRPr="00E601A7">
        <w:rPr>
          <w:rFonts w:ascii="Kyrghyz Times" w:eastAsia="Times New Roman" w:hAnsi="Kyrghyz Times" w:cs="Times New Roman"/>
          <w:i/>
          <w:lang w:eastAsia="ru-RU"/>
        </w:rPr>
        <w:t>.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Тираж </w:t>
      </w:r>
      <w:r w:rsidR="00575D6C">
        <w:rPr>
          <w:rFonts w:ascii="Kyrghyz Times" w:eastAsia="Times New Roman" w:hAnsi="Kyrghyz Times" w:cs="Times New Roman"/>
          <w:i/>
          <w:lang w:val="ky-KG" w:eastAsia="ru-RU"/>
        </w:rPr>
        <w:t>17</w:t>
      </w:r>
      <w:r w:rsidRPr="00E601A7">
        <w:rPr>
          <w:rFonts w:ascii="Kyrghyz Times" w:eastAsia="Times New Roman" w:hAnsi="Kyrghyz Times" w:cs="Times New Roman"/>
          <w:i/>
          <w:lang w:eastAsia="ru-RU"/>
        </w:rPr>
        <w:t xml:space="preserve"> экз.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                                                                                 Заказ №</w:t>
      </w: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b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b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lang w:eastAsia="ru-RU"/>
        </w:rPr>
        <w:t xml:space="preserve">Кыргыз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Республикасынын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Улстаткомунун</w:t>
      </w:r>
      <w:proofErr w:type="spellEnd"/>
    </w:p>
    <w:p w:rsidR="00E601A7" w:rsidRPr="00E601A7" w:rsidRDefault="00E601A7" w:rsidP="00E601A7">
      <w:pPr>
        <w:keepNext/>
        <w:spacing w:after="0" w:line="240" w:lineRule="auto"/>
        <w:jc w:val="center"/>
        <w:outlineLvl w:val="8"/>
        <w:rPr>
          <w:rFonts w:ascii="Kyrghyz Times" w:eastAsia="Times New Roman" w:hAnsi="Kyrghyz Times" w:cs="Times New Roman"/>
          <w:lang w:eastAsia="ru-RU"/>
        </w:rPr>
      </w:pPr>
      <w:r w:rsidRPr="00E601A7">
        <w:rPr>
          <w:rFonts w:ascii="Kyrghyz Times" w:eastAsia="Times New Roman" w:hAnsi="Kyrghyz Times" w:cs="Times New Roman"/>
          <w:lang w:val="ky-KG" w:eastAsia="ru-RU"/>
        </w:rPr>
        <w:t>ИМБ нун</w:t>
      </w:r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полиграфиялык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иштер</w:t>
      </w:r>
      <w:proofErr w:type="spellEnd"/>
      <w:r w:rsidRPr="00E601A7">
        <w:rPr>
          <w:rFonts w:ascii="Kyrghyz Times" w:eastAsia="Times New Roman" w:hAnsi="Kyrghyz Times" w:cs="Times New Roman"/>
          <w:lang w:eastAsia="ru-RU"/>
        </w:rPr>
        <w:t xml:space="preserve"> </w:t>
      </w:r>
      <w:proofErr w:type="spellStart"/>
      <w:r w:rsidRPr="00E601A7">
        <w:rPr>
          <w:rFonts w:ascii="Kyrghyz Times" w:eastAsia="Times New Roman" w:hAnsi="Kyrghyz Times" w:cs="Times New Roman"/>
          <w:lang w:eastAsia="ru-RU"/>
        </w:rPr>
        <w:t>бјлімі</w:t>
      </w:r>
      <w:proofErr w:type="spellEnd"/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iCs/>
          <w:lang w:eastAsia="ru-RU"/>
        </w:rPr>
      </w:pPr>
      <w:r w:rsidRPr="00E601A7">
        <w:rPr>
          <w:rFonts w:ascii="Kyrghyz Times" w:eastAsia="Times New Roman" w:hAnsi="Kyrghyz Times" w:cs="Times New Roman"/>
          <w:i/>
          <w:iCs/>
          <w:lang w:eastAsia="ru-RU"/>
        </w:rPr>
        <w:t>Отдел полиграфических работ</w:t>
      </w:r>
    </w:p>
    <w:p w:rsidR="00E601A7" w:rsidRPr="00E601A7" w:rsidRDefault="00E601A7" w:rsidP="00E601A7">
      <w:pPr>
        <w:spacing w:after="0" w:line="240" w:lineRule="auto"/>
        <w:jc w:val="center"/>
        <w:rPr>
          <w:rFonts w:ascii="Kyrghyz Times" w:eastAsia="Times New Roman" w:hAnsi="Kyrghyz Times" w:cs="Times New Roman"/>
          <w:i/>
          <w:iCs/>
          <w:lang w:eastAsia="ru-RU"/>
        </w:rPr>
      </w:pPr>
      <w:r w:rsidRPr="00E601A7">
        <w:rPr>
          <w:rFonts w:ascii="Kyrghyz Times" w:eastAsia="Times New Roman" w:hAnsi="Kyrghyz Times" w:cs="Times New Roman"/>
          <w:i/>
          <w:iCs/>
          <w:lang w:val="ky-KG" w:eastAsia="ru-RU"/>
        </w:rPr>
        <w:t>ЦИД</w:t>
      </w:r>
      <w:r w:rsidRPr="00E601A7">
        <w:rPr>
          <w:rFonts w:ascii="Kyrghyz Times" w:eastAsia="Times New Roman" w:hAnsi="Kyrghyz Times" w:cs="Times New Roman"/>
          <w:i/>
          <w:iCs/>
          <w:lang w:eastAsia="ru-RU"/>
        </w:rPr>
        <w:t xml:space="preserve"> Нацстаткома Кыргызской Республики</w:t>
      </w:r>
    </w:p>
    <w:p w:rsidR="00E601A7" w:rsidRPr="00E601A7" w:rsidRDefault="00E601A7" w:rsidP="00E601A7">
      <w:pPr>
        <w:rPr>
          <w:rFonts w:ascii="Kyrghyz Times" w:eastAsia="Times New Roman" w:hAnsi="Kyrghyz Times" w:cs="Times New Roman"/>
          <w:b/>
          <w:sz w:val="28"/>
          <w:szCs w:val="20"/>
          <w:lang w:eastAsia="ru-RU"/>
        </w:rPr>
      </w:pPr>
    </w:p>
    <w:p w:rsidR="00E601A7" w:rsidRPr="00E601A7" w:rsidRDefault="00E601A7" w:rsidP="00E601A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601A7" w:rsidRPr="00E601A7" w:rsidRDefault="00E601A7" w:rsidP="00E601A7">
      <w:pPr>
        <w:spacing w:after="0" w:line="240" w:lineRule="auto"/>
        <w:ind w:firstLine="709"/>
        <w:jc w:val="both"/>
        <w:rPr>
          <w:rFonts w:ascii="Kyrghyz Times" w:eastAsia="Times New Roman" w:hAnsi="Kyrghyz Times" w:cs="Times New Roman"/>
          <w:iCs/>
          <w:color w:val="548DD4"/>
          <w:sz w:val="20"/>
          <w:szCs w:val="24"/>
          <w:lang w:val="x-none" w:eastAsia="x-none"/>
        </w:rPr>
      </w:pPr>
    </w:p>
    <w:p w:rsidR="00E601A7" w:rsidRPr="00E601A7" w:rsidRDefault="00E601A7" w:rsidP="00E601A7">
      <w:pPr>
        <w:spacing w:after="0" w:line="240" w:lineRule="auto"/>
        <w:jc w:val="both"/>
        <w:rPr>
          <w:rFonts w:ascii="Kyrghyz Times" w:eastAsia="Times New Roman" w:hAnsi="Kyrghyz Times" w:cs="Times New Roman"/>
          <w:iCs/>
          <w:color w:val="548DD4"/>
          <w:sz w:val="20"/>
          <w:szCs w:val="24"/>
          <w:lang w:val="x-none" w:eastAsia="x-none"/>
        </w:rPr>
      </w:pPr>
    </w:p>
    <w:sectPr w:rsidR="00E601A7" w:rsidRPr="00E601A7" w:rsidSect="007C1DF4">
      <w:footerReference w:type="default" r:id="rId6"/>
      <w:pgSz w:w="11906" w:h="16838"/>
      <w:pgMar w:top="1134" w:right="1134" w:bottom="1134" w:left="1134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1FA7" w:rsidRDefault="001F1FA7">
      <w:pPr>
        <w:spacing w:after="0" w:line="240" w:lineRule="auto"/>
      </w:pPr>
      <w:r>
        <w:separator/>
      </w:r>
    </w:p>
  </w:endnote>
  <w:endnote w:type="continuationSeparator" w:id="0">
    <w:p w:rsidR="001F1FA7" w:rsidRDefault="001F1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1709491"/>
      <w:docPartObj>
        <w:docPartGallery w:val="Page Numbers (Bottom of Page)"/>
        <w:docPartUnique/>
      </w:docPartObj>
    </w:sdtPr>
    <w:sdtContent>
      <w:p w:rsidR="007C1DF4" w:rsidRDefault="007C1DF4" w:rsidP="003807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75D6C" w:rsidRDefault="00575D6C" w:rsidP="00E2084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1FA7" w:rsidRDefault="001F1FA7">
      <w:pPr>
        <w:spacing w:after="0" w:line="240" w:lineRule="auto"/>
      </w:pPr>
      <w:r>
        <w:separator/>
      </w:r>
    </w:p>
  </w:footnote>
  <w:footnote w:type="continuationSeparator" w:id="0">
    <w:p w:rsidR="001F1FA7" w:rsidRDefault="001F1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1A7"/>
    <w:rsid w:val="000447C5"/>
    <w:rsid w:val="000B5A17"/>
    <w:rsid w:val="00174D9A"/>
    <w:rsid w:val="00175749"/>
    <w:rsid w:val="00195B91"/>
    <w:rsid w:val="001C0DD5"/>
    <w:rsid w:val="001C755F"/>
    <w:rsid w:val="001F1FA7"/>
    <w:rsid w:val="00264CA7"/>
    <w:rsid w:val="00273ADE"/>
    <w:rsid w:val="00362C9C"/>
    <w:rsid w:val="003807D2"/>
    <w:rsid w:val="0042325E"/>
    <w:rsid w:val="00440DC0"/>
    <w:rsid w:val="00487158"/>
    <w:rsid w:val="005537F1"/>
    <w:rsid w:val="00575D6C"/>
    <w:rsid w:val="00582CAF"/>
    <w:rsid w:val="005C496F"/>
    <w:rsid w:val="00621E8F"/>
    <w:rsid w:val="00703EA9"/>
    <w:rsid w:val="00756560"/>
    <w:rsid w:val="007C1DF4"/>
    <w:rsid w:val="007E7255"/>
    <w:rsid w:val="007F44F5"/>
    <w:rsid w:val="007F658A"/>
    <w:rsid w:val="00976073"/>
    <w:rsid w:val="009A7C56"/>
    <w:rsid w:val="00A11753"/>
    <w:rsid w:val="00A752D7"/>
    <w:rsid w:val="00AC4043"/>
    <w:rsid w:val="00B258AA"/>
    <w:rsid w:val="00B62078"/>
    <w:rsid w:val="00B902FB"/>
    <w:rsid w:val="00C51C11"/>
    <w:rsid w:val="00C668FC"/>
    <w:rsid w:val="00D31785"/>
    <w:rsid w:val="00D5025F"/>
    <w:rsid w:val="00DA50F0"/>
    <w:rsid w:val="00DD1668"/>
    <w:rsid w:val="00E160E8"/>
    <w:rsid w:val="00E2084D"/>
    <w:rsid w:val="00E42231"/>
    <w:rsid w:val="00E601A7"/>
    <w:rsid w:val="00E81A46"/>
    <w:rsid w:val="00F119DB"/>
    <w:rsid w:val="00F32381"/>
    <w:rsid w:val="00F355A5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2E77"/>
  <w15:chartTrackingRefBased/>
  <w15:docId w15:val="{C803D6CB-7AFA-48ED-B8F4-7F2A46A5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A752D7"/>
    <w:pPr>
      <w:keepNext/>
      <w:spacing w:before="240" w:after="120" w:line="24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60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601A7"/>
  </w:style>
  <w:style w:type="paragraph" w:styleId="a5">
    <w:name w:val="Balloon Text"/>
    <w:basedOn w:val="a"/>
    <w:link w:val="a6"/>
    <w:uiPriority w:val="99"/>
    <w:semiHidden/>
    <w:unhideWhenUsed/>
    <w:rsid w:val="00423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25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1A2F"/>
  </w:style>
  <w:style w:type="character" w:customStyle="1" w:styleId="20">
    <w:name w:val="Заголовок 2 Знак"/>
    <w:basedOn w:val="a0"/>
    <w:link w:val="2"/>
    <w:uiPriority w:val="99"/>
    <w:rsid w:val="00A752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footnote text"/>
    <w:aliases w:val="single space,FOOTNOTES,fn,Footnote,12pt,footnote text,Footnote Text Char1 Char,Footnote Text Char1 Char Char Char Char,Footnote Text Char1 Char Char Char,Geneva 9,Font: Geneva 9,Boston 10,f,Footnote Text Char Char,poznppMV,Char Знак Знак"/>
    <w:basedOn w:val="a"/>
    <w:link w:val="aa"/>
    <w:rsid w:val="00A75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single space Знак,FOOTNOTES Знак,fn Знак,Footnote Знак,12pt Знак,footnote text Знак,Footnote Text Char1 Char Знак,Footnote Text Char1 Char Char Char Char Знак,Footnote Text Char1 Char Char Char Знак,Geneva 9 Знак,Font: Geneva 9 Знак"/>
    <w:basedOn w:val="a0"/>
    <w:link w:val="a9"/>
    <w:rsid w:val="00A752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4104</Words>
  <Characters>23398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Чинаркуль Тунгатарова</dc:creator>
  <cp:keywords/>
  <dc:description/>
  <cp:lastModifiedBy>Азадагул Жолдошева</cp:lastModifiedBy>
  <cp:revision>22</cp:revision>
  <cp:lastPrinted>2024-10-02T07:29:00Z</cp:lastPrinted>
  <dcterms:created xsi:type="dcterms:W3CDTF">2021-09-30T11:07:00Z</dcterms:created>
  <dcterms:modified xsi:type="dcterms:W3CDTF">2024-10-02T07:39:00Z</dcterms:modified>
</cp:coreProperties>
</file>