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B18DE5" w14:textId="073B3A34" w:rsidR="00387ECE" w:rsidRDefault="00C44259">
      <w:pPr>
        <w:rPr>
          <w:lang w:val="ky-KG"/>
        </w:rPr>
      </w:pPr>
      <w:r>
        <w:rPr>
          <w:noProof/>
        </w:rPr>
        <w:drawing>
          <wp:inline distT="0" distB="0" distL="0" distR="0" wp14:anchorId="06348162" wp14:editId="5FFBFF73">
            <wp:extent cx="9251950" cy="6099810"/>
            <wp:effectExtent l="0" t="0" r="6350" b="15240"/>
            <wp:docPr id="216078487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235146D9-8743-41D2-9CE4-05F94B3F006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59BD976A" w14:textId="398309B4" w:rsidR="006D3CC8" w:rsidRDefault="006D3CC8">
      <w:pPr>
        <w:rPr>
          <w:lang w:val="ky-KG"/>
        </w:rPr>
      </w:pPr>
      <w:r>
        <w:rPr>
          <w:noProof/>
        </w:rPr>
        <w:lastRenderedPageBreak/>
        <w:drawing>
          <wp:inline distT="0" distB="0" distL="0" distR="0" wp14:anchorId="73181C0C" wp14:editId="7B169DED">
            <wp:extent cx="9239250" cy="6120130"/>
            <wp:effectExtent l="0" t="0" r="0" b="13970"/>
            <wp:docPr id="1793371996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BD647F95-DC17-4FC4-BDB8-4F4071FB33F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73EAEABE" w14:textId="49DF005A" w:rsidR="006D3CC8" w:rsidRDefault="006D3CC8">
      <w:pPr>
        <w:rPr>
          <w:lang w:val="ky-KG"/>
        </w:rPr>
      </w:pPr>
      <w:r>
        <w:rPr>
          <w:noProof/>
        </w:rPr>
        <w:lastRenderedPageBreak/>
        <w:drawing>
          <wp:inline distT="0" distB="0" distL="0" distR="0" wp14:anchorId="0B1D5F9B" wp14:editId="67D2B0F0">
            <wp:extent cx="9239250" cy="6120130"/>
            <wp:effectExtent l="0" t="0" r="0" b="13970"/>
            <wp:docPr id="1814319022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36CF6BC5-419C-41AA-9CA8-F7FB5721C05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39513DD9" w14:textId="0DB0B49D" w:rsidR="006D3CC8" w:rsidRPr="006D3CC8" w:rsidRDefault="006D3CC8">
      <w:pPr>
        <w:rPr>
          <w:lang w:val="ky-KG"/>
        </w:rPr>
      </w:pPr>
      <w:r>
        <w:rPr>
          <w:noProof/>
        </w:rPr>
        <w:lastRenderedPageBreak/>
        <w:drawing>
          <wp:inline distT="0" distB="0" distL="0" distR="0" wp14:anchorId="2B454D11" wp14:editId="089892DB">
            <wp:extent cx="9267825" cy="6120130"/>
            <wp:effectExtent l="0" t="0" r="9525" b="13970"/>
            <wp:docPr id="721505397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F6360E74-3FE1-4DFD-86DB-6D59006F32F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sectPr w:rsidR="006D3CC8" w:rsidRPr="006D3CC8" w:rsidSect="006D3CC8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332F"/>
    <w:rsid w:val="0019332F"/>
    <w:rsid w:val="00283EA6"/>
    <w:rsid w:val="00387ECE"/>
    <w:rsid w:val="003D4FEF"/>
    <w:rsid w:val="00432E56"/>
    <w:rsid w:val="00550E36"/>
    <w:rsid w:val="00654FC1"/>
    <w:rsid w:val="006D3CC8"/>
    <w:rsid w:val="00843D82"/>
    <w:rsid w:val="00884243"/>
    <w:rsid w:val="00931274"/>
    <w:rsid w:val="00932FFB"/>
    <w:rsid w:val="00A261F0"/>
    <w:rsid w:val="00C44259"/>
    <w:rsid w:val="00CF485A"/>
    <w:rsid w:val="00E07964"/>
    <w:rsid w:val="00E24BBB"/>
    <w:rsid w:val="00FF2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A3A452"/>
  <w15:chartTrackingRefBased/>
  <w15:docId w15:val="{2F3F27C3-FCFD-4DF9-8DC9-D3208A462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48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F48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Индекс доверия населения, I</a:t>
            </a:r>
            <a:r>
              <a:rPr lang="en-US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I</a:t>
            </a: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полугодие 202</a:t>
            </a:r>
            <a:r>
              <a:rPr lang="en-US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5</a:t>
            </a: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г.</a:t>
            </a:r>
          </a:p>
        </c:rich>
      </c:tx>
      <c:layout>
        <c:manualLayout>
          <c:xMode val="edge"/>
          <c:yMode val="edge"/>
          <c:x val="0.30922215218137122"/>
          <c:y val="1.084070214175000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KG"/>
        </a:p>
      </c:txPr>
    </c:title>
    <c:autoTitleDeleted val="0"/>
    <c:plotArea>
      <c:layout>
        <c:manualLayout>
          <c:layoutTarget val="inner"/>
          <c:xMode val="edge"/>
          <c:yMode val="edge"/>
          <c:x val="0.41238935560813644"/>
          <c:y val="5.9068865119569117E-2"/>
          <c:w val="0.58761064439186361"/>
          <c:h val="0.93587821227558776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'Графики-рейтинг (2полуг.2025)'!$C$19</c:f>
              <c:strCache>
                <c:ptCount val="1"/>
                <c:pt idx="0">
                  <c:v>ИДН 1</c:v>
                </c:pt>
              </c:strCache>
            </c:strRef>
          </c:tx>
          <c:spPr>
            <a:solidFill>
              <a:srgbClr val="6792C5"/>
            </a:soli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Pt>
            <c:idx val="12"/>
            <c:invertIfNegative val="0"/>
            <c:bubble3D val="0"/>
            <c:spPr>
              <a:solidFill>
                <a:srgbClr val="6792C5"/>
              </a:solidFill>
              <a:ln>
                <a:solidFill>
                  <a:srgbClr val="648FC4"/>
                </a:solidFill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AD8D-4AEE-B233-5A1CAC29059E}"/>
              </c:ext>
            </c:extLst>
          </c:dPt>
          <c:dPt>
            <c:idx val="13"/>
            <c:invertIfNegative val="0"/>
            <c:bubble3D val="0"/>
            <c:spPr>
              <a:solidFill>
                <a:schemeClr val="tx2">
                  <a:lumMod val="60000"/>
                  <a:lumOff val="40000"/>
                </a:schemeClr>
              </a:solidFill>
              <a:ln>
                <a:solidFill>
                  <a:schemeClr val="tx2">
                    <a:lumMod val="60000"/>
                    <a:lumOff val="40000"/>
                  </a:schemeClr>
                </a:solidFill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AD8D-4AEE-B233-5A1CAC29059E}"/>
              </c:ext>
            </c:extLst>
          </c:dPt>
          <c:dPt>
            <c:idx val="14"/>
            <c:invertIfNegative val="0"/>
            <c:bubble3D val="0"/>
            <c:spPr>
              <a:solidFill>
                <a:schemeClr val="tx2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AD8D-4AEE-B233-5A1CAC29059E}"/>
              </c:ext>
            </c:extLst>
          </c:dPt>
          <c:dPt>
            <c:idx val="16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AD8D-4AEE-B233-5A1CAC29059E}"/>
              </c:ext>
            </c:extLst>
          </c:dPt>
          <c:dPt>
            <c:idx val="19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8-AD8D-4AEE-B233-5A1CAC29059E}"/>
              </c:ext>
            </c:extLst>
          </c:dPt>
          <c:dPt>
            <c:idx val="20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9-AD8D-4AEE-B233-5A1CAC29059E}"/>
              </c:ext>
            </c:extLst>
          </c:dPt>
          <c:dPt>
            <c:idx val="23"/>
            <c:invertIfNegative val="0"/>
            <c:bubble3D val="0"/>
            <c:spPr>
              <a:solidFill>
                <a:srgbClr val="6792C5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B-AD8D-4AEE-B233-5A1CAC29059E}"/>
              </c:ext>
            </c:extLst>
          </c:dPt>
          <c:dLbls>
            <c:dLbl>
              <c:idx val="12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000" b="1" i="0" u="none" strike="noStrike" kern="1200" baseline="0">
                        <a:solidFill>
                          <a:srgbClr val="FF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fld id="{EEC36E0B-857B-4414-969B-E989F7D2F49E}" type="VALUE">
                      <a:rPr lang="en-US">
                        <a:solidFill>
                          <a:sysClr val="windowText" lastClr="000000"/>
                        </a:solidFill>
                      </a:rPr>
                      <a:pPr>
                        <a:defRPr sz="1000" b="1">
                          <a:solidFill>
                            <a:srgbClr val="FF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[ЗНАЧЕНИЕ]</a:t>
                    </a:fld>
                    <a:endParaRPr lang="ru-RU"/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baseline="0">
                      <a:solidFill>
                        <a:srgbClr val="FF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AD8D-4AEE-B233-5A1CAC29059E}"/>
                </c:ext>
              </c:extLst>
            </c:dLbl>
            <c:dLbl>
              <c:idx val="16"/>
              <c:tx>
                <c:rich>
                  <a:bodyPr/>
                  <a:lstStyle/>
                  <a:p>
                    <a:fld id="{9AF2CD32-F20A-4AAA-B20A-E24E94AEEC3D}" type="VALUE">
                      <a:rPr lang="en-US">
                        <a:solidFill>
                          <a:srgbClr val="FF0000"/>
                        </a:solidFill>
                      </a:rPr>
                      <a:pPr/>
                      <a:t>[ЗНАЧЕНИЕ]</a:t>
                    </a:fld>
                    <a:endParaRPr lang="ru-RU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7-AD8D-4AEE-B233-5A1CAC29059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KG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'Графики-рейтинг (2полуг.2025)'!$B$20:$B$49</c:f>
              <c:strCache>
                <c:ptCount val="30"/>
                <c:pt idx="0">
                  <c:v>Министерство здравоохранения Кыргызской Республики</c:v>
                </c:pt>
                <c:pt idx="1">
                  <c:v>Государственная таможенная служба при Кабинете Министров Кыргыз</c:v>
                </c:pt>
                <c:pt idx="2">
                  <c:v>Министерство строительства, архитектуры и жилищно-коммунального</c:v>
                </c:pt>
                <c:pt idx="3">
                  <c:v>Министерство труда, социального обеспечения и миграции Кыргызск</c:v>
                </c:pt>
                <c:pt idx="4">
                  <c:v>Министерство науки, высшего образования и инноваций Кыргызской Р</c:v>
                </c:pt>
                <c:pt idx="5">
                  <c:v>Министерство природных ресурсов, экологии и технического надзор</c:v>
                </c:pt>
                <c:pt idx="6">
                  <c:v>Государственная налоговая служба при Кабинете Министров Кыргызс</c:v>
                </c:pt>
                <c:pt idx="7">
                  <c:v>Министерство энергетики Кыргызской Республики</c:v>
                </c:pt>
                <c:pt idx="8">
                  <c:v>Министерство финансов Кыргызской Республики</c:v>
                </c:pt>
                <c:pt idx="9">
                  <c:v>Министерство внутренних дел Кыргызской Республики</c:v>
                </c:pt>
                <c:pt idx="10">
                  <c:v>Министерство водных ресурсов, сельского хозяйства и перерабатыв</c:v>
                </c:pt>
                <c:pt idx="11">
                  <c:v>Государственное агентство по управлению государственным имущес</c:v>
                </c:pt>
                <c:pt idx="12">
                  <c:v>Министерство юстиции Кыргызской Республики</c:v>
                </c:pt>
                <c:pt idx="13">
                  <c:v>Министерство экономики и коммерции Кыргызской Республики</c:v>
                </c:pt>
                <c:pt idx="14">
                  <c:v>Министерство транспорта и коммуникаций Кыргызской Республики</c:v>
                </c:pt>
                <c:pt idx="15">
                  <c:v>Социальный фонд Кыргызской Республики при Кабинете Министров Кы</c:v>
                </c:pt>
                <c:pt idx="16">
                  <c:v>Кыргызская Республика</c:v>
                </c:pt>
                <c:pt idx="17">
                  <c:v>Государственное агентство по делам государственной службы и мес</c:v>
                </c:pt>
                <c:pt idx="18">
                  <c:v>Государственное агентство по защите персональных данных  при Каб</c:v>
                </c:pt>
                <c:pt idx="19">
                  <c:v>Министерство просвещения Кыргызской Республики</c:v>
                </c:pt>
                <c:pt idx="20">
                  <c:v>Национальное агентство по инвестициям при Президенте Кыргызской</c:v>
                </c:pt>
                <c:pt idx="21">
                  <c:v>Министерство иностранных дел Кыргызской Республики</c:v>
                </c:pt>
                <c:pt idx="22">
                  <c:v>Министерство цифрового развития и инновационных технологий Кырг</c:v>
                </c:pt>
                <c:pt idx="23">
                  <c:v>Министерство культуры, информации и молодежной политики Кыргызс</c:v>
                </c:pt>
                <c:pt idx="24">
                  <c:v>Исполнительные органы местного самоуправления Кыргызской Респу</c:v>
                </c:pt>
                <c:pt idx="25">
                  <c:v>Министерство обороны Кыргызской Республики</c:v>
                </c:pt>
                <c:pt idx="26">
                  <c:v>Министерство чрезвычайных ситуаций Кыргызской Республики</c:v>
                </c:pt>
                <c:pt idx="27">
                  <c:v>Местные государственные администрации</c:v>
                </c:pt>
                <c:pt idx="28">
                  <c:v>Исполнительные органы местного самоуправления городов областно</c:v>
                </c:pt>
                <c:pt idx="29">
                  <c:v>Аппараты Полномочных представителей Президента Кыргызской Респ</c:v>
                </c:pt>
              </c:strCache>
            </c:strRef>
          </c:cat>
          <c:val>
            <c:numRef>
              <c:f>'Графики-рейтинг (2полуг.2025)'!$C$20:$C$49</c:f>
              <c:numCache>
                <c:formatCode>###0.0</c:formatCode>
                <c:ptCount val="30"/>
                <c:pt idx="0">
                  <c:v>33.489221550994699</c:v>
                </c:pt>
                <c:pt idx="1">
                  <c:v>37.315597607170758</c:v>
                </c:pt>
                <c:pt idx="2">
                  <c:v>37.658021739779393</c:v>
                </c:pt>
                <c:pt idx="3">
                  <c:v>39.856553443366046</c:v>
                </c:pt>
                <c:pt idx="4">
                  <c:v>40.443168790943787</c:v>
                </c:pt>
                <c:pt idx="5">
                  <c:v>40.545740424995515</c:v>
                </c:pt>
                <c:pt idx="6">
                  <c:v>40.898349508431529</c:v>
                </c:pt>
                <c:pt idx="7">
                  <c:v>41.098256523635541</c:v>
                </c:pt>
                <c:pt idx="8">
                  <c:v>43.671273020327106</c:v>
                </c:pt>
                <c:pt idx="9">
                  <c:v>43.96318543240595</c:v>
                </c:pt>
                <c:pt idx="10">
                  <c:v>44.515947307430103</c:v>
                </c:pt>
                <c:pt idx="11">
                  <c:v>44.585737079979275</c:v>
                </c:pt>
                <c:pt idx="12">
                  <c:v>44.778577229430006</c:v>
                </c:pt>
                <c:pt idx="13">
                  <c:v>45.152882683599557</c:v>
                </c:pt>
                <c:pt idx="14">
                  <c:v>45.531486971931834</c:v>
                </c:pt>
                <c:pt idx="15">
                  <c:v>46.175409038524052</c:v>
                </c:pt>
                <c:pt idx="16">
                  <c:v>46.220248141824406</c:v>
                </c:pt>
                <c:pt idx="17">
                  <c:v>47.530565569367234</c:v>
                </c:pt>
                <c:pt idx="18">
                  <c:v>48.559938410285014</c:v>
                </c:pt>
                <c:pt idx="19">
                  <c:v>48.690728845873814</c:v>
                </c:pt>
                <c:pt idx="20">
                  <c:v>48.701270813865989</c:v>
                </c:pt>
                <c:pt idx="21">
                  <c:v>48.997908651686672</c:v>
                </c:pt>
                <c:pt idx="22">
                  <c:v>50.795580800060577</c:v>
                </c:pt>
                <c:pt idx="23">
                  <c:v>52.329909907825375</c:v>
                </c:pt>
                <c:pt idx="24">
                  <c:v>54.097067450926325</c:v>
                </c:pt>
                <c:pt idx="25">
                  <c:v>54.276177848224755</c:v>
                </c:pt>
                <c:pt idx="26">
                  <c:v>57.463028760045546</c:v>
                </c:pt>
                <c:pt idx="27">
                  <c:v>59.581625578538599</c:v>
                </c:pt>
                <c:pt idx="28">
                  <c:v>61.17580261821945</c:v>
                </c:pt>
                <c:pt idx="29">
                  <c:v>62.289143249764756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AD8D-4AEE-B233-5A1CAC29059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15"/>
        <c:overlap val="-20"/>
        <c:axId val="549435560"/>
        <c:axId val="549438696"/>
      </c:barChart>
      <c:catAx>
        <c:axId val="54943556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KG"/>
          </a:p>
        </c:txPr>
        <c:crossAx val="549438696"/>
        <c:crosses val="autoZero"/>
        <c:auto val="1"/>
        <c:lblAlgn val="l"/>
        <c:lblOffset val="100"/>
        <c:noMultiLvlLbl val="0"/>
      </c:catAx>
      <c:valAx>
        <c:axId val="549438696"/>
        <c:scaling>
          <c:orientation val="minMax"/>
        </c:scaling>
        <c:delete val="1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##0.0" sourceLinked="1"/>
        <c:majorTickMark val="none"/>
        <c:minorTickMark val="none"/>
        <c:tickLblPos val="nextTo"/>
        <c:crossAx val="54943556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KG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Индекс </a:t>
            </a:r>
            <a:r>
              <a:rPr lang="en-US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"</a:t>
            </a: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Личное доверие гражданина к государству", </a:t>
            </a:r>
            <a:r>
              <a:rPr lang="en-US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II </a:t>
            </a: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полугодие 202</a:t>
            </a:r>
            <a:r>
              <a:rPr lang="en-US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5</a:t>
            </a: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г.</a:t>
            </a:r>
          </a:p>
        </c:rich>
      </c:tx>
      <c:layout>
        <c:manualLayout>
          <c:xMode val="edge"/>
          <c:yMode val="edge"/>
          <c:x val="0.19375460635301969"/>
          <c:y val="2.282068843009065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KG"/>
        </a:p>
      </c:txPr>
    </c:title>
    <c:autoTitleDeleted val="0"/>
    <c:plotArea>
      <c:layout>
        <c:manualLayout>
          <c:layoutTarget val="inner"/>
          <c:xMode val="edge"/>
          <c:yMode val="edge"/>
          <c:x val="0.43804612288415079"/>
          <c:y val="7.3571979127429299E-2"/>
          <c:w val="0.52997292101997795"/>
          <c:h val="0.9079744108475775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'Графики-рейтинг (2полуг.2025)'!$D$62</c:f>
              <c:strCache>
                <c:ptCount val="1"/>
                <c:pt idx="0">
                  <c:v>ИЛД 2</c:v>
                </c:pt>
              </c:strCache>
            </c:strRef>
          </c:tx>
          <c:spPr>
            <a:solidFill>
              <a:srgbClr val="6792C5"/>
            </a:soli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Pt>
            <c:idx val="11"/>
            <c:invertIfNegative val="0"/>
            <c:bubble3D val="0"/>
            <c:spPr>
              <a:solidFill>
                <a:srgbClr val="6792C5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F63C-4D55-9D80-088BBDC22845}"/>
              </c:ext>
            </c:extLst>
          </c:dPt>
          <c:dPt>
            <c:idx val="13"/>
            <c:invertIfNegative val="0"/>
            <c:bubble3D val="0"/>
            <c:spPr>
              <a:solidFill>
                <a:srgbClr val="6792C5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F63C-4D55-9D80-088BBDC22845}"/>
              </c:ext>
            </c:extLst>
          </c:dPt>
          <c:dPt>
            <c:idx val="14"/>
            <c:invertIfNegative val="0"/>
            <c:bubble3D val="0"/>
            <c:spPr>
              <a:solidFill>
                <a:srgbClr val="6792C5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F63C-4D55-9D80-088BBDC22845}"/>
              </c:ext>
            </c:extLst>
          </c:dPt>
          <c:dPt>
            <c:idx val="15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F63C-4D55-9D80-088BBDC22845}"/>
              </c:ext>
            </c:extLst>
          </c:dPt>
          <c:dPt>
            <c:idx val="18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8-F63C-4D55-9D80-088BBDC22845}"/>
              </c:ext>
            </c:extLst>
          </c:dPt>
          <c:dPt>
            <c:idx val="19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9-F63C-4D55-9D80-088BBDC22845}"/>
              </c:ext>
            </c:extLst>
          </c:dPt>
          <c:dPt>
            <c:idx val="21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A-F63C-4D55-9D80-088BBDC22845}"/>
              </c:ext>
            </c:extLst>
          </c:dPt>
          <c:dPt>
            <c:idx val="22"/>
            <c:invertIfNegative val="0"/>
            <c:bubble3D val="0"/>
            <c:spPr>
              <a:solidFill>
                <a:srgbClr val="6792C5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C-F63C-4D55-9D80-088BBDC22845}"/>
              </c:ext>
            </c:extLst>
          </c:dPt>
          <c:dLbls>
            <c:dLbl>
              <c:idx val="11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000" b="1" i="0" u="none" strike="noStrike" kern="1200" baseline="0">
                        <a:solidFill>
                          <a:srgbClr val="FF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fld id="{781BC4C7-6F8C-4FBD-B040-090B5C6BAD7C}" type="VALUE">
                      <a:rPr lang="en-US">
                        <a:solidFill>
                          <a:sysClr val="windowText" lastClr="000000"/>
                        </a:solidFill>
                      </a:rPr>
                      <a:pPr>
                        <a:defRPr sz="1000" b="1">
                          <a:solidFill>
                            <a:srgbClr val="FF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[ЗНАЧЕНИЕ]</a:t>
                    </a:fld>
                    <a:endParaRPr lang="ru-RU"/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baseline="0">
                      <a:solidFill>
                        <a:srgbClr val="FF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F63C-4D55-9D80-088BBDC22845}"/>
                </c:ext>
              </c:extLst>
            </c:dLbl>
            <c:dLbl>
              <c:idx val="1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3-F63C-4D55-9D80-088BBDC22845}"/>
                </c:ext>
              </c:extLst>
            </c:dLbl>
            <c:dLbl>
              <c:idx val="1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0">
                  <a:spAutoFit/>
                </a:bodyPr>
                <a:lstStyle/>
                <a:p>
                  <a:pPr algn="ctr">
                    <a:defRPr lang="en-US" sz="1000" b="1" i="0" u="none" strike="noStrike" kern="1200" baseline="0">
                      <a:solidFill>
                        <a:schemeClr val="tx1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5-F63C-4D55-9D80-088BBDC22845}"/>
                </c:ext>
              </c:extLst>
            </c:dLbl>
            <c:dLbl>
              <c:idx val="15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000" b="1" i="0" u="none" strike="noStrike" kern="120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fld id="{4B4BEA5C-9308-4AB1-9E17-425CA72B2100}" type="VALUE">
                      <a:rPr lang="en-US">
                        <a:solidFill>
                          <a:srgbClr val="FF0000"/>
                        </a:solidFill>
                      </a:rPr>
                      <a:pPr>
                        <a:defRPr sz="1000" b="1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[ЗНАЧЕНИЕ]</a:t>
                    </a:fld>
                    <a:endParaRPr lang="ru-RU"/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7-F63C-4D55-9D80-088BBDC2284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KG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'Графики-рейтинг (2полуг.2025)'!$B$63:$B$92</c:f>
              <c:strCache>
                <c:ptCount val="30"/>
                <c:pt idx="0">
                  <c:v>Министерство здравоохранения Кыргызской Республики</c:v>
                </c:pt>
                <c:pt idx="1">
                  <c:v>Министерство строительства, архитектуры и жилищно-коммунального</c:v>
                </c:pt>
                <c:pt idx="2">
                  <c:v>Министерство труда, социального обеспечения и миграции Кыргызск</c:v>
                </c:pt>
                <c:pt idx="3">
                  <c:v>Министерство природных ресурсов, экологии и технического надзор</c:v>
                </c:pt>
                <c:pt idx="4">
                  <c:v>Государственная таможенная служба при Кабинете Министров Кыргыз</c:v>
                </c:pt>
                <c:pt idx="5">
                  <c:v>Министерство энергетики Кыргызской Республики</c:v>
                </c:pt>
                <c:pt idx="6">
                  <c:v>Министерство науки, высшего образования и инноваций Кыргызской Р</c:v>
                </c:pt>
                <c:pt idx="7">
                  <c:v>Государственная налоговая служба при Кабинете Министров Кыргызс</c:v>
                </c:pt>
                <c:pt idx="8">
                  <c:v>Министерство водных ресурсов, сельского хозяйства и перерабатыв</c:v>
                </c:pt>
                <c:pt idx="9">
                  <c:v>Государственное агентство по управлению государственным имущес</c:v>
                </c:pt>
                <c:pt idx="10">
                  <c:v>Министерство юстиции Кыргызской Республики</c:v>
                </c:pt>
                <c:pt idx="11">
                  <c:v>Министерство финансов Кыргызской Республики</c:v>
                </c:pt>
                <c:pt idx="12">
                  <c:v>Министерство внутренних дел Кыргызской Республики</c:v>
                </c:pt>
                <c:pt idx="13">
                  <c:v>Министерство экономики и коммерции Кыргызской Республики</c:v>
                </c:pt>
                <c:pt idx="14">
                  <c:v>Государственное агентство по защите персональных данных  при Каб</c:v>
                </c:pt>
                <c:pt idx="15">
                  <c:v>Кыргызская Республика</c:v>
                </c:pt>
                <c:pt idx="16">
                  <c:v>Социальный фонд Кыргызской Республики при Кабинете Министров Кы</c:v>
                </c:pt>
                <c:pt idx="17">
                  <c:v>Министерство транспорта и коммуникаций Кыргызской Республики</c:v>
                </c:pt>
                <c:pt idx="18">
                  <c:v>Государственное агентство по делам государственной службы и мес</c:v>
                </c:pt>
                <c:pt idx="19">
                  <c:v>Национальное агентство по инвестициям при Президенте Кыргызской</c:v>
                </c:pt>
                <c:pt idx="20">
                  <c:v>Министерство просвещения Кыргызской Республики</c:v>
                </c:pt>
                <c:pt idx="21">
                  <c:v>Министерство иностранных дел Кыргызской Республики</c:v>
                </c:pt>
                <c:pt idx="22">
                  <c:v>Министерство цифрового развития и инновационных технологий Кырг</c:v>
                </c:pt>
                <c:pt idx="23">
                  <c:v>Министерство культуры, информации и молодежной политики Кыргызс</c:v>
                </c:pt>
                <c:pt idx="24">
                  <c:v>Министерство обороны Кыргызской Республики</c:v>
                </c:pt>
                <c:pt idx="25">
                  <c:v>Исполнительные органы местного самоуправления Кыргызской Респу</c:v>
                </c:pt>
                <c:pt idx="26">
                  <c:v>Министерство чрезвычайных ситуаций Кыргызской Республики</c:v>
                </c:pt>
                <c:pt idx="27">
                  <c:v>Местные государственные администрации</c:v>
                </c:pt>
                <c:pt idx="28">
                  <c:v>Исполнительные органы местного самоуправления городов областно</c:v>
                </c:pt>
                <c:pt idx="29">
                  <c:v>Аппараты Полномочных представителей Президента Кыргызской Респ</c:v>
                </c:pt>
              </c:strCache>
            </c:strRef>
          </c:cat>
          <c:val>
            <c:numRef>
              <c:f>'Графики-рейтинг (2полуг.2025)'!$D$63:$D$92</c:f>
              <c:numCache>
                <c:formatCode>###0.0</c:formatCode>
                <c:ptCount val="30"/>
                <c:pt idx="0">
                  <c:v>40.827766411122255</c:v>
                </c:pt>
                <c:pt idx="1">
                  <c:v>43.585714096939682</c:v>
                </c:pt>
                <c:pt idx="2">
                  <c:v>43.747305109878191</c:v>
                </c:pt>
                <c:pt idx="3">
                  <c:v>44.098258604260494</c:v>
                </c:pt>
                <c:pt idx="4">
                  <c:v>45.341916983448769</c:v>
                </c:pt>
                <c:pt idx="5">
                  <c:v>46.24297462310755</c:v>
                </c:pt>
                <c:pt idx="6">
                  <c:v>47.00115464023726</c:v>
                </c:pt>
                <c:pt idx="7">
                  <c:v>47.261990516380664</c:v>
                </c:pt>
                <c:pt idx="8">
                  <c:v>47.571137323819244</c:v>
                </c:pt>
                <c:pt idx="9">
                  <c:v>48.316878199261296</c:v>
                </c:pt>
                <c:pt idx="10">
                  <c:v>49.428301220653246</c:v>
                </c:pt>
                <c:pt idx="11">
                  <c:v>49.540598024102408</c:v>
                </c:pt>
                <c:pt idx="12">
                  <c:v>50.057917570856276</c:v>
                </c:pt>
                <c:pt idx="13">
                  <c:v>50.120376617037095</c:v>
                </c:pt>
                <c:pt idx="14">
                  <c:v>50.33194551365532</c:v>
                </c:pt>
                <c:pt idx="15">
                  <c:v>50.525207340623098</c:v>
                </c:pt>
                <c:pt idx="16">
                  <c:v>50.552335577627595</c:v>
                </c:pt>
                <c:pt idx="17">
                  <c:v>50.603751708964609</c:v>
                </c:pt>
                <c:pt idx="18">
                  <c:v>50.733993238250591</c:v>
                </c:pt>
                <c:pt idx="19">
                  <c:v>51.886018726582755</c:v>
                </c:pt>
                <c:pt idx="20">
                  <c:v>52.429841116047349</c:v>
                </c:pt>
                <c:pt idx="21">
                  <c:v>52.829231607592348</c:v>
                </c:pt>
                <c:pt idx="22">
                  <c:v>53.347020136912782</c:v>
                </c:pt>
                <c:pt idx="23">
                  <c:v>55.08328948274935</c:v>
                </c:pt>
                <c:pt idx="24">
                  <c:v>57.635827958984692</c:v>
                </c:pt>
                <c:pt idx="25">
                  <c:v>58.443431692982962</c:v>
                </c:pt>
                <c:pt idx="26">
                  <c:v>60.443567806943733</c:v>
                </c:pt>
                <c:pt idx="27">
                  <c:v>61.297946590641338</c:v>
                </c:pt>
                <c:pt idx="28">
                  <c:v>62.778046630105266</c:v>
                </c:pt>
                <c:pt idx="29">
                  <c:v>63.790372722383104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D-F63C-4D55-9D80-088BBDC2284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15"/>
        <c:overlap val="-20"/>
        <c:axId val="545548984"/>
        <c:axId val="545545064"/>
      </c:barChart>
      <c:catAx>
        <c:axId val="54554898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KG"/>
          </a:p>
        </c:txPr>
        <c:crossAx val="545545064"/>
        <c:crosses val="autoZero"/>
        <c:auto val="1"/>
        <c:lblAlgn val="ctr"/>
        <c:lblOffset val="100"/>
        <c:noMultiLvlLbl val="0"/>
      </c:catAx>
      <c:valAx>
        <c:axId val="545545064"/>
        <c:scaling>
          <c:orientation val="minMax"/>
        </c:scaling>
        <c:delete val="1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##0.0" sourceLinked="1"/>
        <c:majorTickMark val="none"/>
        <c:minorTickMark val="none"/>
        <c:tickLblPos val="nextTo"/>
        <c:crossAx val="54554898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KG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Индекс "Личное представление об уровне коррупции", </a:t>
            </a:r>
            <a:r>
              <a:rPr lang="en-US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II </a:t>
            </a: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полугодие 202</a:t>
            </a:r>
            <a:r>
              <a:rPr lang="en-US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5</a:t>
            </a: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г.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KG"/>
        </a:p>
      </c:txPr>
    </c:title>
    <c:autoTitleDeleted val="0"/>
    <c:plotArea>
      <c:layout>
        <c:manualLayout>
          <c:layoutTarget val="inner"/>
          <c:xMode val="edge"/>
          <c:yMode val="edge"/>
          <c:x val="0.43156332312890505"/>
          <c:y val="7.3811007753097263E-2"/>
          <c:w val="0.53021312407776711"/>
          <c:h val="0.91142219106872246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'Графики-рейтинг (2полуг.2025)'!$E$98</c:f>
              <c:strCache>
                <c:ptCount val="1"/>
                <c:pt idx="0">
                  <c:v>ИУК 3</c:v>
                </c:pt>
              </c:strCache>
            </c:strRef>
          </c:tx>
          <c:spPr>
            <a:solidFill>
              <a:srgbClr val="648FC4"/>
            </a:soli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Pt>
            <c:idx val="11"/>
            <c:invertIfNegative val="0"/>
            <c:bubble3D val="0"/>
            <c:spPr>
              <a:solidFill>
                <a:srgbClr val="648FC4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9D35-4483-B1E9-1BC2FBC699EA}"/>
              </c:ext>
            </c:extLst>
          </c:dPt>
          <c:dPt>
            <c:idx val="12"/>
            <c:invertIfNegative val="0"/>
            <c:bubble3D val="0"/>
            <c:spPr>
              <a:solidFill>
                <a:srgbClr val="648FC4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9D35-4483-B1E9-1BC2FBC699EA}"/>
              </c:ext>
            </c:extLst>
          </c:dPt>
          <c:dPt>
            <c:idx val="13"/>
            <c:invertIfNegative val="0"/>
            <c:bubble3D val="0"/>
            <c:spPr>
              <a:solidFill>
                <a:srgbClr val="648FC4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9D35-4483-B1E9-1BC2FBC699EA}"/>
              </c:ext>
            </c:extLst>
          </c:dPt>
          <c:dPt>
            <c:idx val="14"/>
            <c:invertIfNegative val="0"/>
            <c:bubble3D val="0"/>
            <c:spPr>
              <a:solidFill>
                <a:srgbClr val="648FC4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9D35-4483-B1E9-1BC2FBC699EA}"/>
              </c:ext>
            </c:extLst>
          </c:dPt>
          <c:dPt>
            <c:idx val="15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9-9D35-4483-B1E9-1BC2FBC699EA}"/>
              </c:ext>
            </c:extLst>
          </c:dPt>
          <c:dLbls>
            <c:dLbl>
              <c:idx val="11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000" b="1" i="0" u="none" strike="noStrike" kern="1200" baseline="0">
                        <a:solidFill>
                          <a:srgbClr val="FF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fld id="{869FF86C-D6FF-42B5-BB86-D5A0015A21FA}" type="VALUE">
                      <a:rPr lang="en-US">
                        <a:solidFill>
                          <a:sysClr val="windowText" lastClr="000000"/>
                        </a:solidFill>
                      </a:rPr>
                      <a:pPr>
                        <a:defRPr sz="1000" b="1">
                          <a:solidFill>
                            <a:srgbClr val="FF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[ЗНАЧЕНИЕ]</a:t>
                    </a:fld>
                    <a:endParaRPr lang="ru-RU"/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baseline="0">
                      <a:solidFill>
                        <a:srgbClr val="FF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9D35-4483-B1E9-1BC2FBC699EA}"/>
                </c:ext>
              </c:extLst>
            </c:dLbl>
            <c:dLbl>
              <c:idx val="1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3-9D35-4483-B1E9-1BC2FBC699EA}"/>
                </c:ext>
              </c:extLst>
            </c:dLbl>
            <c:dLbl>
              <c:idx val="1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5-9D35-4483-B1E9-1BC2FBC699EA}"/>
                </c:ext>
              </c:extLst>
            </c:dLbl>
            <c:dLbl>
              <c:idx val="1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0">
                  <a:spAutoFit/>
                </a:bodyPr>
                <a:lstStyle/>
                <a:p>
                  <a:pPr algn="ctr">
                    <a:defRPr lang="en-US" sz="1000" b="1" i="0" u="none" strike="noStrike" kern="1200" baseline="0">
                      <a:solidFill>
                        <a:schemeClr val="tx1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7-9D35-4483-B1E9-1BC2FBC699EA}"/>
                </c:ext>
              </c:extLst>
            </c:dLbl>
            <c:dLbl>
              <c:idx val="15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000" b="1" i="0" u="none" strike="noStrike" kern="120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fld id="{7A0E1A7B-F2F0-4E21-975A-02E067572C9A}" type="VALUE">
                      <a:rPr lang="en-US">
                        <a:solidFill>
                          <a:srgbClr val="FF0000"/>
                        </a:solidFill>
                      </a:rPr>
                      <a:pPr>
                        <a:defRPr sz="1000" b="1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[ЗНАЧЕНИЕ]</a:t>
                    </a:fld>
                    <a:endParaRPr lang="ru-RU"/>
                  </a:p>
                </c:rich>
              </c:tx>
              <c:spPr>
                <a:solidFill>
                  <a:schemeClr val="bg1"/>
                </a:solidFill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9-9D35-4483-B1E9-1BC2FBC699E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KG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'Графики-рейтинг (2полуг.2025)'!$B$99:$B$128</c:f>
              <c:strCache>
                <c:ptCount val="30"/>
                <c:pt idx="0">
                  <c:v>Министерство здравоохранения Кыргызской Республики</c:v>
                </c:pt>
                <c:pt idx="1">
                  <c:v>Государственная таможенная служба при Кабинете Министров Кыргыз</c:v>
                </c:pt>
                <c:pt idx="2">
                  <c:v>Министерство строительства, архитектуры и жилищно-коммунального</c:v>
                </c:pt>
                <c:pt idx="3">
                  <c:v>Государственная налоговая служба при Кабинете Министров Кыргызс</c:v>
                </c:pt>
                <c:pt idx="4">
                  <c:v>Министерство науки, высшего образования и инноваций Кыргызской Р</c:v>
                </c:pt>
                <c:pt idx="5">
                  <c:v>Министерство внутренних дел Кыргызской Республики</c:v>
                </c:pt>
                <c:pt idx="6">
                  <c:v>Министерство труда, социального обеспечения и миграции Кыргызск</c:v>
                </c:pt>
                <c:pt idx="7">
                  <c:v>Министерство финансов Кыргызской Республики</c:v>
                </c:pt>
                <c:pt idx="8">
                  <c:v>Министерство энергетики Кыргызской Республики</c:v>
                </c:pt>
                <c:pt idx="9">
                  <c:v>Министерство юстиции Кыргызской Республики</c:v>
                </c:pt>
                <c:pt idx="10">
                  <c:v>Министерство экономики и коммерции Кыргызской Республики</c:v>
                </c:pt>
                <c:pt idx="11">
                  <c:v>Министерство природных ресурсов, экологии и технического надзор</c:v>
                </c:pt>
                <c:pt idx="12">
                  <c:v>Социальный фонд Кыргызской Республики при Кабинете Министров Кы</c:v>
                </c:pt>
                <c:pt idx="13">
                  <c:v>Министерство транспорта и коммуникаций Кыргызской Республики</c:v>
                </c:pt>
                <c:pt idx="14">
                  <c:v>Государственное агентство по управлению государственным имущес</c:v>
                </c:pt>
                <c:pt idx="15">
                  <c:v>Кыргызская Республика</c:v>
                </c:pt>
                <c:pt idx="16">
                  <c:v>Министерство водных ресурсов, сельского хозяйства и перерабатыв</c:v>
                </c:pt>
                <c:pt idx="17">
                  <c:v>Министерство просвещения Кыргызской Республики</c:v>
                </c:pt>
                <c:pt idx="18">
                  <c:v>Национальное агентство по инвестициям при Президенте Кыргызской</c:v>
                </c:pt>
                <c:pt idx="19">
                  <c:v>Государственное агентство по делам государственной службы и мес</c:v>
                </c:pt>
                <c:pt idx="20">
                  <c:v>Министерство иностранных дел Кыргызской Республики</c:v>
                </c:pt>
                <c:pt idx="21">
                  <c:v>Исполнительные органы местного самоуправления Кыргызской Респу</c:v>
                </c:pt>
                <c:pt idx="22">
                  <c:v>Государственное агентство по защите персональных данных  при Каб</c:v>
                </c:pt>
                <c:pt idx="23">
                  <c:v>Министерство цифрового развития и инновационных технологий Кырг</c:v>
                </c:pt>
                <c:pt idx="24">
                  <c:v>Министерство обороны Кыргызской Республики</c:v>
                </c:pt>
                <c:pt idx="25">
                  <c:v>Министерство культуры, информации и молодежной политики Кыргызс</c:v>
                </c:pt>
                <c:pt idx="26">
                  <c:v>Министерство чрезвычайных ситуаций Кыргызской Республики</c:v>
                </c:pt>
                <c:pt idx="27">
                  <c:v>Местные государственные администрации</c:v>
                </c:pt>
                <c:pt idx="28">
                  <c:v>Аппараты Полномочных представителей Президента Кыргызской Респ</c:v>
                </c:pt>
                <c:pt idx="29">
                  <c:v>Исполнительные органы местного самоуправления городов областно</c:v>
                </c:pt>
              </c:strCache>
            </c:strRef>
          </c:cat>
          <c:val>
            <c:numRef>
              <c:f>'Графики-рейтинг (2полуг.2025)'!$E$99:$E$128</c:f>
              <c:numCache>
                <c:formatCode>###0.0</c:formatCode>
                <c:ptCount val="30"/>
                <c:pt idx="0">
                  <c:v>24.296248857766901</c:v>
                </c:pt>
                <c:pt idx="1">
                  <c:v>26.638420933433199</c:v>
                </c:pt>
                <c:pt idx="2">
                  <c:v>30.291563847776708</c:v>
                </c:pt>
                <c:pt idx="3">
                  <c:v>32.500275892369935</c:v>
                </c:pt>
                <c:pt idx="4">
                  <c:v>33.228643730079874</c:v>
                </c:pt>
                <c:pt idx="5">
                  <c:v>35.751377256328858</c:v>
                </c:pt>
                <c:pt idx="6">
                  <c:v>36.730580359027151</c:v>
                </c:pt>
                <c:pt idx="7">
                  <c:v>37.549606378825658</c:v>
                </c:pt>
                <c:pt idx="8">
                  <c:v>38.503755540934016</c:v>
                </c:pt>
                <c:pt idx="9">
                  <c:v>39.507658888939964</c:v>
                </c:pt>
                <c:pt idx="10">
                  <c:v>39.813422097397726</c:v>
                </c:pt>
                <c:pt idx="11">
                  <c:v>39.92499520470426</c:v>
                </c:pt>
                <c:pt idx="12">
                  <c:v>40.806556722215518</c:v>
                </c:pt>
                <c:pt idx="13">
                  <c:v>41.223985982200517</c:v>
                </c:pt>
                <c:pt idx="14">
                  <c:v>41.840247170332546</c:v>
                </c:pt>
                <c:pt idx="15">
                  <c:v>42.244606486998549</c:v>
                </c:pt>
                <c:pt idx="16">
                  <c:v>43.625030173889968</c:v>
                </c:pt>
                <c:pt idx="17">
                  <c:v>45.807180949617241</c:v>
                </c:pt>
                <c:pt idx="18">
                  <c:v>45.843980396789014</c:v>
                </c:pt>
                <c:pt idx="19">
                  <c:v>45.98593881025139</c:v>
                </c:pt>
                <c:pt idx="20">
                  <c:v>46.363511730331012</c:v>
                </c:pt>
                <c:pt idx="21">
                  <c:v>47.34318705214929</c:v>
                </c:pt>
                <c:pt idx="22">
                  <c:v>48.175067858487544</c:v>
                </c:pt>
                <c:pt idx="23">
                  <c:v>49.645636341288743</c:v>
                </c:pt>
                <c:pt idx="24">
                  <c:v>51.426721446338526</c:v>
                </c:pt>
                <c:pt idx="25">
                  <c:v>51.573429094991134</c:v>
                </c:pt>
                <c:pt idx="26">
                  <c:v>55.800976223016185</c:v>
                </c:pt>
                <c:pt idx="27">
                  <c:v>60.879584997475185</c:v>
                </c:pt>
                <c:pt idx="28">
                  <c:v>62.207927899486201</c:v>
                </c:pt>
                <c:pt idx="29">
                  <c:v>62.331079837100233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9D35-4483-B1E9-1BC2FBC699E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15"/>
        <c:overlap val="-20"/>
        <c:axId val="549439480"/>
        <c:axId val="549438304"/>
      </c:barChart>
      <c:catAx>
        <c:axId val="54943948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KG"/>
          </a:p>
        </c:txPr>
        <c:crossAx val="549438304"/>
        <c:crosses val="autoZero"/>
        <c:auto val="1"/>
        <c:lblAlgn val="ctr"/>
        <c:lblOffset val="100"/>
        <c:noMultiLvlLbl val="0"/>
      </c:catAx>
      <c:valAx>
        <c:axId val="549438304"/>
        <c:scaling>
          <c:orientation val="minMax"/>
        </c:scaling>
        <c:delete val="1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##0.0" sourceLinked="1"/>
        <c:majorTickMark val="none"/>
        <c:minorTickMark val="none"/>
        <c:tickLblPos val="nextTo"/>
        <c:crossAx val="5494394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KG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Индекс "Оценка деятельности", I</a:t>
            </a:r>
            <a:r>
              <a:rPr lang="en-US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I</a:t>
            </a: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полугодие 202</a:t>
            </a:r>
            <a:r>
              <a:rPr lang="en-US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5</a:t>
            </a: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г.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KG"/>
        </a:p>
      </c:txPr>
    </c:title>
    <c:autoTitleDeleted val="0"/>
    <c:plotArea>
      <c:layout>
        <c:manualLayout>
          <c:layoutTarget val="inner"/>
          <c:xMode val="edge"/>
          <c:yMode val="edge"/>
          <c:x val="0.44628199567281823"/>
          <c:y val="7.7604442670155219E-2"/>
          <c:w val="0.51034280255495534"/>
          <c:h val="0.9079744108475775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'Графики-рейтинг (2полуг.2025)'!$F$147</c:f>
              <c:strCache>
                <c:ptCount val="1"/>
                <c:pt idx="0">
                  <c:v>ИОД 4</c:v>
                </c:pt>
              </c:strCache>
            </c:strRef>
          </c:tx>
          <c:spPr>
            <a:solidFill>
              <a:srgbClr val="648FC4"/>
            </a:soli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Pt>
            <c:idx val="12"/>
            <c:invertIfNegative val="0"/>
            <c:bubble3D val="0"/>
            <c:spPr>
              <a:solidFill>
                <a:srgbClr val="648FC4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94B8-403E-B4F5-54BC51EDA4B1}"/>
              </c:ext>
            </c:extLst>
          </c:dPt>
          <c:dPt>
            <c:idx val="13"/>
            <c:invertIfNegative val="0"/>
            <c:bubble3D val="0"/>
            <c:spPr>
              <a:solidFill>
                <a:srgbClr val="648FC4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94B8-403E-B4F5-54BC51EDA4B1}"/>
              </c:ext>
            </c:extLst>
          </c:dPt>
          <c:dPt>
            <c:idx val="14"/>
            <c:invertIfNegative val="0"/>
            <c:bubble3D val="0"/>
            <c:spPr>
              <a:solidFill>
                <a:srgbClr val="648FC4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94B8-403E-B4F5-54BC51EDA4B1}"/>
              </c:ext>
            </c:extLst>
          </c:dPt>
          <c:dPt>
            <c:idx val="15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94B8-403E-B4F5-54BC51EDA4B1}"/>
              </c:ext>
            </c:extLst>
          </c:dPt>
          <c:dLbls>
            <c:dLbl>
              <c:idx val="13"/>
              <c:layout>
                <c:manualLayout>
                  <c:x val="1.160592775958805E-3"/>
                  <c:y val="5.5956417441041508E-3"/>
                </c:manualLayout>
              </c:layout>
              <c:tx>
                <c:rich>
                  <a:bodyPr rot="0" spcFirstLastPara="1" vertOverflow="ellipsis" vert="horz" wrap="square" anchor="ctr" anchorCtr="0"/>
                  <a:lstStyle/>
                  <a:p>
                    <a:pPr algn="ctr">
                      <a:defRPr lang="en-US" sz="1000" b="1" i="0" u="none" strike="noStrike" kern="1200" baseline="0">
                        <a:solidFill>
                          <a:srgbClr val="FF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fld id="{5DB1C88C-33DA-4526-A886-6E9FB18DD69D}" type="VALUE">
                      <a:rPr lang="en-US">
                        <a:solidFill>
                          <a:sysClr val="windowText" lastClr="000000"/>
                        </a:solidFill>
                      </a:rPr>
                      <a:pPr algn="ctr">
                        <a:defRPr lang="en-US" sz="1000" b="1">
                          <a:solidFill>
                            <a:srgbClr val="FF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[ЗНАЧЕНИЕ]</a:t>
                    </a:fld>
                    <a:endParaRPr lang="ru-RU"/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0"/>
                <a:lstStyle/>
                <a:p>
                  <a:pPr algn="ctr">
                    <a:defRPr lang="en-US" sz="1000" b="1" i="0" u="none" strike="noStrike" kern="1200" baseline="0">
                      <a:solidFill>
                        <a:srgbClr val="FF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94B8-403E-B4F5-54BC51EDA4B1}"/>
                </c:ext>
              </c:extLst>
            </c:dLbl>
            <c:dLbl>
              <c:idx val="15"/>
              <c:tx>
                <c:rich>
                  <a:bodyPr rot="0" spcFirstLastPara="1" vertOverflow="ellipsis" vert="horz" wrap="square" anchor="ctr" anchorCtr="1"/>
                  <a:lstStyle/>
                  <a:p>
                    <a:pPr>
                      <a:defRPr sz="1000" b="1" i="0" u="none" strike="noStrike" kern="120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fld id="{744486CC-B716-42A9-A279-22DF77DFFC54}" type="VALUE">
                      <a:rPr lang="en-US">
                        <a:solidFill>
                          <a:srgbClr val="FF0000"/>
                        </a:solidFill>
                      </a:rPr>
                      <a:pPr>
                        <a:defRPr sz="1000" b="1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[ЗНАЧЕНИЕ]</a:t>
                    </a:fld>
                    <a:endParaRPr lang="ru-RU"/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0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7-94B8-403E-B4F5-54BC51EDA4B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KG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'Графики-рейтинг (2полуг.2025)'!$B$148:$B$177</c:f>
              <c:strCache>
                <c:ptCount val="30"/>
                <c:pt idx="0">
                  <c:v>Министерство здравоохранения Кыргызской Республики</c:v>
                </c:pt>
                <c:pt idx="1">
                  <c:v>Министерство природных ресурсов, экологии и технического надзор</c:v>
                </c:pt>
                <c:pt idx="2">
                  <c:v>Министерство энергетики Кыргызской Республики</c:v>
                </c:pt>
                <c:pt idx="3">
                  <c:v>Государственная таможенная служба при Кабинете Министров Кыргыз</c:v>
                </c:pt>
                <c:pt idx="4">
                  <c:v>Министерство строительства, архитектуры и жилищно-коммунального</c:v>
                </c:pt>
                <c:pt idx="5">
                  <c:v>Министерство труда, социального обеспечения и миграции Кыргызск</c:v>
                </c:pt>
                <c:pt idx="6">
                  <c:v>Министерство науки, высшего образования и инноваций Кыргызской Р</c:v>
                </c:pt>
                <c:pt idx="7">
                  <c:v>Государственная налоговая служба при Кабинете Министров Кыргызс</c:v>
                </c:pt>
                <c:pt idx="8">
                  <c:v>Министерство водных ресурсов, сельского хозяйства и перерабатыв</c:v>
                </c:pt>
                <c:pt idx="9">
                  <c:v>Министерство финансов Кыргызской Республики</c:v>
                </c:pt>
                <c:pt idx="10">
                  <c:v>Государственное агентство по управлению государственным имущес</c:v>
                </c:pt>
                <c:pt idx="11">
                  <c:v>Министерство транспорта и коммуникаций Кыргызской Республики</c:v>
                </c:pt>
                <c:pt idx="12">
                  <c:v>Министерство юстиции Кыргызской Республики</c:v>
                </c:pt>
                <c:pt idx="13">
                  <c:v>Министерство экономики и коммерции Кыргызской Республики</c:v>
                </c:pt>
                <c:pt idx="14">
                  <c:v>Министерство внутренних дел Кыргызской Республики</c:v>
                </c:pt>
                <c:pt idx="15">
                  <c:v>Кыргызская Республика</c:v>
                </c:pt>
                <c:pt idx="16">
                  <c:v>Государственное агентство по делам государственной службы и мес</c:v>
                </c:pt>
                <c:pt idx="17">
                  <c:v>Социальный фонд Кыргызской Республики при Кабинете Министров Кы</c:v>
                </c:pt>
                <c:pt idx="18">
                  <c:v>Министерство иностранных дел Кыргызской Республики</c:v>
                </c:pt>
                <c:pt idx="19">
                  <c:v>Государственное агентство по защите персональных данных  при Каб</c:v>
                </c:pt>
                <c:pt idx="20">
                  <c:v>Министерство просвещения Кыргызской Республики</c:v>
                </c:pt>
                <c:pt idx="21">
                  <c:v>Национальное агентство по инвестициям при Президенте Кыргызской</c:v>
                </c:pt>
                <c:pt idx="22">
                  <c:v>Министерство цифрового развития и инновационных технологий Кырг</c:v>
                </c:pt>
                <c:pt idx="23">
                  <c:v>Министерство культуры, информации и молодежной политики Кыргызс</c:v>
                </c:pt>
                <c:pt idx="24">
                  <c:v>Министерство обороны Кыргызской Республики</c:v>
                </c:pt>
                <c:pt idx="25">
                  <c:v>Исполнительные органы местного самоуправления Кыргызской Респу</c:v>
                </c:pt>
                <c:pt idx="26">
                  <c:v>Министерство чрезвычайных ситуаций Кыргызской Республики</c:v>
                </c:pt>
                <c:pt idx="27">
                  <c:v>Местные государственные администрации</c:v>
                </c:pt>
                <c:pt idx="28">
                  <c:v>Исполнительные органы местного самоуправления городов областно</c:v>
                </c:pt>
                <c:pt idx="29">
                  <c:v>Аппараты Полномочных представителей Президента Кыргызской Респ</c:v>
                </c:pt>
              </c:strCache>
            </c:strRef>
          </c:cat>
          <c:val>
            <c:numRef>
              <c:f>'Графики-рейтинг (2полуг.2025)'!$F$148:$F$177</c:f>
              <c:numCache>
                <c:formatCode>###0.0</c:formatCode>
                <c:ptCount val="30"/>
                <c:pt idx="0">
                  <c:v>35.178918920704788</c:v>
                </c:pt>
                <c:pt idx="1">
                  <c:v>38.14422846017878</c:v>
                </c:pt>
                <c:pt idx="2">
                  <c:v>38.767608709587527</c:v>
                </c:pt>
                <c:pt idx="3">
                  <c:v>39.195278786318696</c:v>
                </c:pt>
                <c:pt idx="4">
                  <c:v>39.214947960521506</c:v>
                </c:pt>
                <c:pt idx="5">
                  <c:v>39.297190580061439</c:v>
                </c:pt>
                <c:pt idx="6">
                  <c:v>40.814913016602574</c:v>
                </c:pt>
                <c:pt idx="7">
                  <c:v>42.526420248869798</c:v>
                </c:pt>
                <c:pt idx="8">
                  <c:v>43.119241342969701</c:v>
                </c:pt>
                <c:pt idx="9">
                  <c:v>43.666334576910536</c:v>
                </c:pt>
                <c:pt idx="10">
                  <c:v>43.964028869490342</c:v>
                </c:pt>
                <c:pt idx="11">
                  <c:v>44.617356679212413</c:v>
                </c:pt>
                <c:pt idx="12">
                  <c:v>44.675710103847727</c:v>
                </c:pt>
                <c:pt idx="13">
                  <c:v>45.561565686760339</c:v>
                </c:pt>
                <c:pt idx="14">
                  <c:v>45.670729301729075</c:v>
                </c:pt>
                <c:pt idx="15">
                  <c:v>46.00873107746137</c:v>
                </c:pt>
                <c:pt idx="16">
                  <c:v>46.485050811165877</c:v>
                </c:pt>
                <c:pt idx="17">
                  <c:v>47.180837081801066</c:v>
                </c:pt>
                <c:pt idx="18">
                  <c:v>47.609352611786129</c:v>
                </c:pt>
                <c:pt idx="19">
                  <c:v>48.027545443213604</c:v>
                </c:pt>
                <c:pt idx="20">
                  <c:v>48.063597718447596</c:v>
                </c:pt>
                <c:pt idx="21">
                  <c:v>48.512803031709723</c:v>
                </c:pt>
                <c:pt idx="22">
                  <c:v>49.733476132607393</c:v>
                </c:pt>
                <c:pt idx="23">
                  <c:v>50.636026812172425</c:v>
                </c:pt>
                <c:pt idx="24">
                  <c:v>53.833102276076964</c:v>
                </c:pt>
                <c:pt idx="25">
                  <c:v>56.070640176600435</c:v>
                </c:pt>
                <c:pt idx="26">
                  <c:v>56.640523425732866</c:v>
                </c:pt>
                <c:pt idx="27">
                  <c:v>58.717905786773798</c:v>
                </c:pt>
                <c:pt idx="28">
                  <c:v>61.07809834898837</c:v>
                </c:pt>
                <c:pt idx="29">
                  <c:v>61.712336407991963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94B8-403E-B4F5-54BC51EDA4B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15"/>
        <c:overlap val="-20"/>
        <c:axId val="545548592"/>
        <c:axId val="545544672"/>
      </c:barChart>
      <c:catAx>
        <c:axId val="54554859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KG"/>
          </a:p>
        </c:txPr>
        <c:crossAx val="545544672"/>
        <c:crosses val="autoZero"/>
        <c:auto val="1"/>
        <c:lblAlgn val="ctr"/>
        <c:lblOffset val="100"/>
        <c:noMultiLvlLbl val="0"/>
      </c:catAx>
      <c:valAx>
        <c:axId val="545544672"/>
        <c:scaling>
          <c:orientation val="minMax"/>
        </c:scaling>
        <c:delete val="1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##0.0" sourceLinked="1"/>
        <c:majorTickMark val="none"/>
        <c:minorTickMark val="none"/>
        <c:tickLblPos val="nextTo"/>
        <c:crossAx val="54554859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Arial Narrow" panose="020B0606020202030204" pitchFamily="34" charset="0"/>
        </a:defRPr>
      </a:pPr>
      <a:endParaRPr lang="ru-KG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4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ize="5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34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ize="5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34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ize="5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34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ize="5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Samohleb</dc:creator>
  <cp:keywords/>
  <dc:description/>
  <cp:lastModifiedBy>Мейли Шаршенбекова</cp:lastModifiedBy>
  <cp:revision>8</cp:revision>
  <cp:lastPrinted>2026-01-23T03:43:00Z</cp:lastPrinted>
  <dcterms:created xsi:type="dcterms:W3CDTF">2022-07-27T04:59:00Z</dcterms:created>
  <dcterms:modified xsi:type="dcterms:W3CDTF">2026-01-23T09:39:00Z</dcterms:modified>
</cp:coreProperties>
</file>