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theme/themeOverride4.xml" ContentType="application/vnd.openxmlformats-officedocument.themeOverride+xml"/>
  <Override PartName="/word/charts/chart8.xml" ContentType="application/vnd.openxmlformats-officedocument.drawingml.chart+xml"/>
  <Override PartName="/word/theme/themeOverride5.xml" ContentType="application/vnd.openxmlformats-officedocument.themeOverride+xml"/>
  <Override PartName="/word/charts/chart9.xml" ContentType="application/vnd.openxmlformats-officedocument.drawingml.chart+xml"/>
  <Override PartName="/word/theme/themeOverride6.xml" ContentType="application/vnd.openxmlformats-officedocument.themeOverride+xml"/>
  <Override PartName="/word/charts/chart10.xml" ContentType="application/vnd.openxmlformats-officedocument.drawingml.chart+xml"/>
  <Override PartName="/word/theme/themeOverride7.xml" ContentType="application/vnd.openxmlformats-officedocument.themeOverride+xml"/>
  <Override PartName="/word/charts/chart11.xml" ContentType="application/vnd.openxmlformats-officedocument.drawingml.chart+xml"/>
  <Override PartName="/word/theme/themeOverride8.xml" ContentType="application/vnd.openxmlformats-officedocument.themeOverride+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theme/themeOverride9.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188" w:type="dxa"/>
        <w:tblLayout w:type="fixed"/>
        <w:tblLook w:val="01E0" w:firstRow="1" w:lastRow="1" w:firstColumn="1" w:lastColumn="1" w:noHBand="0" w:noVBand="0"/>
      </w:tblPr>
      <w:tblGrid>
        <w:gridCol w:w="4248"/>
        <w:gridCol w:w="1620"/>
        <w:gridCol w:w="4320"/>
      </w:tblGrid>
      <w:tr w:rsidR="009E1386" w:rsidRPr="002D1CD6" w14:paraId="55B6DE58" w14:textId="77777777" w:rsidTr="00445855">
        <w:tc>
          <w:tcPr>
            <w:tcW w:w="4248" w:type="dxa"/>
          </w:tcPr>
          <w:p w14:paraId="02F5FB0D" w14:textId="77777777" w:rsidR="009E1386" w:rsidRPr="002D1CD6" w:rsidRDefault="009E1386" w:rsidP="0017013A">
            <w:pPr>
              <w:pStyle w:val="24"/>
              <w:jc w:val="center"/>
              <w:rPr>
                <w:sz w:val="24"/>
                <w:szCs w:val="24"/>
              </w:rPr>
            </w:pPr>
            <w:r w:rsidRPr="002D1CD6">
              <w:rPr>
                <w:sz w:val="24"/>
                <w:szCs w:val="24"/>
              </w:rPr>
              <w:t xml:space="preserve">Кыргыз </w:t>
            </w:r>
            <w:proofErr w:type="spellStart"/>
            <w:r w:rsidRPr="002D1CD6">
              <w:rPr>
                <w:sz w:val="24"/>
                <w:szCs w:val="24"/>
              </w:rPr>
              <w:t>Республикасынын</w:t>
            </w:r>
            <w:proofErr w:type="spellEnd"/>
          </w:p>
          <w:p w14:paraId="31ACC76A" w14:textId="77777777" w:rsidR="009E1386" w:rsidRPr="002D1CD6" w:rsidRDefault="009E1386" w:rsidP="0017013A">
            <w:pPr>
              <w:pStyle w:val="24"/>
              <w:jc w:val="center"/>
              <w:rPr>
                <w:sz w:val="24"/>
                <w:szCs w:val="24"/>
              </w:rPr>
            </w:pPr>
            <w:proofErr w:type="spellStart"/>
            <w:r w:rsidRPr="002D1CD6">
              <w:rPr>
                <w:sz w:val="24"/>
                <w:szCs w:val="24"/>
              </w:rPr>
              <w:t>Улуттук</w:t>
            </w:r>
            <w:proofErr w:type="spellEnd"/>
            <w:r w:rsidRPr="002D1CD6">
              <w:rPr>
                <w:sz w:val="24"/>
                <w:szCs w:val="24"/>
              </w:rPr>
              <w:t xml:space="preserve"> статистика </w:t>
            </w:r>
            <w:proofErr w:type="spellStart"/>
            <w:r w:rsidRPr="002D1CD6">
              <w:rPr>
                <w:sz w:val="24"/>
                <w:szCs w:val="24"/>
              </w:rPr>
              <w:t>комитети</w:t>
            </w:r>
            <w:proofErr w:type="spellEnd"/>
          </w:p>
          <w:p w14:paraId="4C6AEEFF" w14:textId="77777777" w:rsidR="009E1386" w:rsidRPr="002D1CD6" w:rsidRDefault="009E1386" w:rsidP="0017013A">
            <w:pPr>
              <w:pStyle w:val="24"/>
              <w:jc w:val="center"/>
              <w:rPr>
                <w:sz w:val="24"/>
                <w:szCs w:val="24"/>
              </w:rPr>
            </w:pPr>
          </w:p>
          <w:p w14:paraId="3D5F940A" w14:textId="46A199EF" w:rsidR="0017013A" w:rsidRDefault="00202C27" w:rsidP="0017013A">
            <w:pPr>
              <w:pStyle w:val="24"/>
              <w:jc w:val="center"/>
              <w:rPr>
                <w:sz w:val="24"/>
                <w:szCs w:val="24"/>
                <w:lang w:val="ky-KG"/>
              </w:rPr>
            </w:pPr>
            <w:r>
              <w:rPr>
                <w:sz w:val="24"/>
                <w:szCs w:val="24"/>
                <w:lang w:val="ky-KG"/>
              </w:rPr>
              <w:t>Манас</w:t>
            </w:r>
            <w:r w:rsidR="0017013A" w:rsidRPr="002D1CD6">
              <w:rPr>
                <w:sz w:val="24"/>
                <w:szCs w:val="24"/>
              </w:rPr>
              <w:t xml:space="preserve"> </w:t>
            </w:r>
            <w:r>
              <w:rPr>
                <w:sz w:val="24"/>
                <w:szCs w:val="24"/>
                <w:lang w:val="ky-KG"/>
              </w:rPr>
              <w:t>шаардык</w:t>
            </w:r>
            <w:r w:rsidR="0017013A" w:rsidRPr="002D1CD6">
              <w:rPr>
                <w:sz w:val="24"/>
                <w:szCs w:val="24"/>
              </w:rPr>
              <w:t xml:space="preserve"> статистика</w:t>
            </w:r>
          </w:p>
          <w:p w14:paraId="16BF1096" w14:textId="77777777" w:rsidR="0017013A" w:rsidRDefault="0017013A" w:rsidP="0017013A">
            <w:pPr>
              <w:jc w:val="center"/>
              <w:rPr>
                <w:noProof/>
                <w:color w:val="7030A0"/>
                <w:lang w:val="ky-KG"/>
              </w:rPr>
            </w:pPr>
            <w:proofErr w:type="spellStart"/>
            <w:r w:rsidRPr="002D1CD6">
              <w:rPr>
                <w:sz w:val="24"/>
                <w:szCs w:val="24"/>
              </w:rPr>
              <w:t>башкар</w:t>
            </w:r>
            <w:proofErr w:type="spellEnd"/>
            <w:r>
              <w:rPr>
                <w:sz w:val="24"/>
                <w:szCs w:val="24"/>
                <w:lang w:val="ky-KG"/>
              </w:rPr>
              <w:t>ма</w:t>
            </w:r>
            <w:proofErr w:type="spellStart"/>
            <w:r w:rsidRPr="002D1CD6">
              <w:rPr>
                <w:sz w:val="24"/>
                <w:szCs w:val="24"/>
              </w:rPr>
              <w:t>лыгы</w:t>
            </w:r>
            <w:proofErr w:type="spellEnd"/>
          </w:p>
          <w:p w14:paraId="3AEC12E0" w14:textId="77777777" w:rsidR="009E1386" w:rsidRPr="002D1CD6" w:rsidRDefault="009E1386" w:rsidP="0017013A">
            <w:pPr>
              <w:pStyle w:val="24"/>
              <w:jc w:val="center"/>
            </w:pPr>
          </w:p>
        </w:tc>
        <w:tc>
          <w:tcPr>
            <w:tcW w:w="1620" w:type="dxa"/>
          </w:tcPr>
          <w:p w14:paraId="66C65A04" w14:textId="2A5EFDCF" w:rsidR="009E1386" w:rsidRPr="002D1CD6" w:rsidRDefault="003F2A04" w:rsidP="003F2A04">
            <w:pPr>
              <w:pStyle w:val="24"/>
              <w:jc w:val="center"/>
            </w:pPr>
            <w:r>
              <w:rPr>
                <w:noProof/>
              </w:rPr>
              <w:drawing>
                <wp:anchor distT="0" distB="0" distL="114300" distR="114300" simplePos="0" relativeHeight="251763712" behindDoc="0" locked="0" layoutInCell="1" allowOverlap="1" wp14:anchorId="7626D415" wp14:editId="2F49FE50">
                  <wp:simplePos x="0" y="0"/>
                  <wp:positionH relativeFrom="column">
                    <wp:posOffset>-68580</wp:posOffset>
                  </wp:positionH>
                  <wp:positionV relativeFrom="paragraph">
                    <wp:posOffset>22860</wp:posOffset>
                  </wp:positionV>
                  <wp:extent cx="1028700" cy="1009650"/>
                  <wp:effectExtent l="0" t="0" r="0" b="0"/>
                  <wp:wrapSquare wrapText="bothSides"/>
                  <wp:docPr id="88632782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8700" cy="10096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320" w:type="dxa"/>
          </w:tcPr>
          <w:p w14:paraId="6278261D" w14:textId="77777777" w:rsidR="0017013A" w:rsidRPr="002D1CD6" w:rsidRDefault="0017013A" w:rsidP="0017013A">
            <w:pPr>
              <w:pStyle w:val="24"/>
              <w:jc w:val="center"/>
              <w:rPr>
                <w:sz w:val="24"/>
                <w:szCs w:val="24"/>
              </w:rPr>
            </w:pPr>
            <w:r w:rsidRPr="002D1CD6">
              <w:rPr>
                <w:sz w:val="24"/>
                <w:szCs w:val="24"/>
              </w:rPr>
              <w:t>Национальный статистический</w:t>
            </w:r>
          </w:p>
          <w:p w14:paraId="365B1E7F" w14:textId="77777777" w:rsidR="0017013A" w:rsidRPr="002D1CD6" w:rsidRDefault="0017013A" w:rsidP="0017013A">
            <w:pPr>
              <w:pStyle w:val="24"/>
              <w:jc w:val="center"/>
              <w:rPr>
                <w:sz w:val="24"/>
                <w:szCs w:val="24"/>
              </w:rPr>
            </w:pPr>
            <w:r w:rsidRPr="002D1CD6">
              <w:rPr>
                <w:sz w:val="24"/>
                <w:szCs w:val="24"/>
              </w:rPr>
              <w:t>комитет Кыргызской Республики</w:t>
            </w:r>
          </w:p>
          <w:p w14:paraId="60ADC08E" w14:textId="77777777" w:rsidR="009E1386" w:rsidRPr="002D1CD6" w:rsidRDefault="009E1386" w:rsidP="0017013A">
            <w:pPr>
              <w:pStyle w:val="24"/>
              <w:jc w:val="center"/>
              <w:rPr>
                <w:sz w:val="24"/>
                <w:szCs w:val="24"/>
              </w:rPr>
            </w:pPr>
          </w:p>
          <w:p w14:paraId="04C1004D" w14:textId="2474973A" w:rsidR="0017013A" w:rsidRPr="0017013A" w:rsidRDefault="00202C27" w:rsidP="0017013A">
            <w:pPr>
              <w:pStyle w:val="24"/>
              <w:jc w:val="center"/>
              <w:rPr>
                <w:sz w:val="24"/>
                <w:szCs w:val="24"/>
              </w:rPr>
            </w:pPr>
            <w:r>
              <w:rPr>
                <w:sz w:val="24"/>
                <w:szCs w:val="24"/>
                <w:lang w:val="ky-KG"/>
              </w:rPr>
              <w:t>Манасское</w:t>
            </w:r>
            <w:r w:rsidR="009E1386" w:rsidRPr="002D1CD6">
              <w:rPr>
                <w:sz w:val="24"/>
                <w:szCs w:val="24"/>
              </w:rPr>
              <w:t xml:space="preserve"> </w:t>
            </w:r>
            <w:r>
              <w:rPr>
                <w:sz w:val="24"/>
                <w:szCs w:val="24"/>
                <w:lang w:val="ky-KG"/>
              </w:rPr>
              <w:t>городское</w:t>
            </w:r>
            <w:r w:rsidR="009E1386" w:rsidRPr="002D1CD6">
              <w:rPr>
                <w:sz w:val="24"/>
                <w:szCs w:val="24"/>
              </w:rPr>
              <w:t xml:space="preserve"> </w:t>
            </w:r>
          </w:p>
          <w:p w14:paraId="7B352EFC" w14:textId="77777777" w:rsidR="009E1386" w:rsidRPr="002D1CD6" w:rsidRDefault="009E1386" w:rsidP="0017013A">
            <w:pPr>
              <w:pStyle w:val="24"/>
              <w:jc w:val="center"/>
              <w:rPr>
                <w:sz w:val="24"/>
                <w:szCs w:val="24"/>
              </w:rPr>
            </w:pPr>
            <w:proofErr w:type="gramStart"/>
            <w:r w:rsidRPr="002D1CD6">
              <w:rPr>
                <w:sz w:val="24"/>
                <w:szCs w:val="24"/>
              </w:rPr>
              <w:t>управление</w:t>
            </w:r>
            <w:r w:rsidR="00666694">
              <w:rPr>
                <w:sz w:val="24"/>
                <w:szCs w:val="24"/>
                <w:lang w:val="ky-KG"/>
              </w:rPr>
              <w:t xml:space="preserve"> </w:t>
            </w:r>
            <w:r w:rsidRPr="002D1CD6">
              <w:rPr>
                <w:sz w:val="24"/>
                <w:szCs w:val="24"/>
              </w:rPr>
              <w:t xml:space="preserve"> статистики</w:t>
            </w:r>
            <w:proofErr w:type="gramEnd"/>
          </w:p>
          <w:p w14:paraId="42586F69" w14:textId="77777777" w:rsidR="009E1386" w:rsidRPr="002D1CD6" w:rsidRDefault="009E1386" w:rsidP="00445855">
            <w:pPr>
              <w:pStyle w:val="24"/>
              <w:jc w:val="center"/>
              <w:rPr>
                <w:sz w:val="24"/>
                <w:szCs w:val="24"/>
              </w:rPr>
            </w:pPr>
          </w:p>
        </w:tc>
      </w:tr>
    </w:tbl>
    <w:p w14:paraId="637CAF95" w14:textId="77777777" w:rsidR="006E3545" w:rsidRPr="00666694" w:rsidRDefault="006E3545" w:rsidP="006E3545">
      <w:pPr>
        <w:rPr>
          <w:sz w:val="24"/>
        </w:rPr>
      </w:pPr>
    </w:p>
    <w:p w14:paraId="4168CA42" w14:textId="77777777" w:rsidR="00525D2F" w:rsidRDefault="001A06A3" w:rsidP="006E3545">
      <w:pPr>
        <w:rPr>
          <w:noProof/>
          <w:color w:val="7030A0"/>
          <w:lang w:val="ky-KG"/>
        </w:rPr>
      </w:pPr>
      <w:r>
        <w:rPr>
          <w:noProof/>
          <w:color w:val="7030A0"/>
          <w:lang w:val="ky-KG"/>
        </w:rPr>
        <w:t xml:space="preserve">                                                                                   </w:t>
      </w:r>
    </w:p>
    <w:p w14:paraId="6C242BBA" w14:textId="77777777" w:rsidR="006E3545" w:rsidRDefault="001A06A3" w:rsidP="006E3545">
      <w:pPr>
        <w:rPr>
          <w:sz w:val="24"/>
        </w:rPr>
      </w:pPr>
      <w:r>
        <w:rPr>
          <w:noProof/>
          <w:color w:val="7030A0"/>
          <w:lang w:val="ky-KG"/>
        </w:rPr>
        <w:t xml:space="preserve">                </w:t>
      </w:r>
    </w:p>
    <w:p w14:paraId="42AE7209" w14:textId="77777777" w:rsidR="006E3545" w:rsidRDefault="006E3545" w:rsidP="006E3545">
      <w:pPr>
        <w:rPr>
          <w:sz w:val="24"/>
        </w:rPr>
      </w:pPr>
    </w:p>
    <w:p w14:paraId="395999AA" w14:textId="77777777" w:rsidR="006E3545" w:rsidRDefault="006E3545" w:rsidP="006E3545">
      <w:pPr>
        <w:rPr>
          <w:sz w:val="24"/>
        </w:rPr>
      </w:pPr>
    </w:p>
    <w:p w14:paraId="3D68D2CB" w14:textId="77777777" w:rsidR="009E1386" w:rsidRPr="00687390" w:rsidRDefault="00666694" w:rsidP="009E1386">
      <w:pPr>
        <w:jc w:val="center"/>
        <w:rPr>
          <w:b/>
          <w:sz w:val="56"/>
          <w:szCs w:val="56"/>
        </w:rPr>
      </w:pPr>
      <w:r>
        <w:rPr>
          <w:b/>
          <w:sz w:val="56"/>
          <w:szCs w:val="56"/>
          <w:lang w:val="ky-KG"/>
        </w:rPr>
        <w:t>ЖАЛАЛ-АБАД</w:t>
      </w:r>
      <w:r w:rsidR="009E1386" w:rsidRPr="00687390">
        <w:rPr>
          <w:b/>
          <w:sz w:val="56"/>
          <w:szCs w:val="56"/>
        </w:rPr>
        <w:t xml:space="preserve"> ОБЛУСУНУ</w:t>
      </w:r>
      <w:r w:rsidR="00683460">
        <w:rPr>
          <w:b/>
          <w:sz w:val="56"/>
          <w:szCs w:val="56"/>
        </w:rPr>
        <w:t>Н</w:t>
      </w:r>
    </w:p>
    <w:p w14:paraId="796B8CE2" w14:textId="77777777" w:rsidR="009E1386" w:rsidRPr="00687390" w:rsidRDefault="009E1386" w:rsidP="009E1386">
      <w:pPr>
        <w:jc w:val="center"/>
        <w:rPr>
          <w:b/>
          <w:sz w:val="56"/>
          <w:szCs w:val="56"/>
        </w:rPr>
      </w:pPr>
      <w:r w:rsidRPr="00687390">
        <w:rPr>
          <w:b/>
          <w:sz w:val="56"/>
          <w:szCs w:val="56"/>
        </w:rPr>
        <w:t>СОЦИАЛДЫК-ЭКОНОМИКАЛЫК</w:t>
      </w:r>
    </w:p>
    <w:p w14:paraId="2E08C3D2" w14:textId="77777777" w:rsidR="009E1386" w:rsidRPr="000E6AF6" w:rsidRDefault="000E6AF6" w:rsidP="009E1386">
      <w:pPr>
        <w:jc w:val="center"/>
        <w:rPr>
          <w:b/>
          <w:sz w:val="56"/>
          <w:szCs w:val="56"/>
          <w:lang w:val="ky-KG"/>
        </w:rPr>
      </w:pPr>
      <w:r>
        <w:rPr>
          <w:b/>
          <w:sz w:val="56"/>
          <w:szCs w:val="56"/>
          <w:lang w:val="ky-KG"/>
        </w:rPr>
        <w:t>ӨНҮГҮҮСҮ</w:t>
      </w:r>
    </w:p>
    <w:p w14:paraId="214D23BC" w14:textId="77777777" w:rsidR="009E1386" w:rsidRPr="00687390" w:rsidRDefault="009E1386" w:rsidP="009E1386">
      <w:pPr>
        <w:jc w:val="center"/>
        <w:rPr>
          <w:b/>
          <w:i/>
          <w:sz w:val="56"/>
          <w:szCs w:val="56"/>
        </w:rPr>
      </w:pPr>
    </w:p>
    <w:p w14:paraId="2760B1F9" w14:textId="77777777" w:rsidR="009E1386" w:rsidRPr="00687390" w:rsidRDefault="009E1386" w:rsidP="009E1386">
      <w:pPr>
        <w:jc w:val="center"/>
        <w:rPr>
          <w:b/>
          <w:i/>
          <w:sz w:val="56"/>
          <w:szCs w:val="56"/>
        </w:rPr>
      </w:pPr>
      <w:r w:rsidRPr="00687390">
        <w:rPr>
          <w:b/>
          <w:i/>
          <w:sz w:val="56"/>
          <w:szCs w:val="56"/>
        </w:rPr>
        <w:t>СОЦИАЛЬНО-ЭКОНОМИЧЕСКОЕ</w:t>
      </w:r>
    </w:p>
    <w:p w14:paraId="43986CA8" w14:textId="77777777" w:rsidR="009E1386" w:rsidRPr="00687390" w:rsidRDefault="009E1386" w:rsidP="009E1386">
      <w:pPr>
        <w:jc w:val="center"/>
        <w:rPr>
          <w:b/>
          <w:i/>
          <w:sz w:val="56"/>
          <w:szCs w:val="56"/>
        </w:rPr>
      </w:pPr>
      <w:r w:rsidRPr="00687390">
        <w:rPr>
          <w:b/>
          <w:i/>
          <w:sz w:val="56"/>
          <w:szCs w:val="56"/>
        </w:rPr>
        <w:t xml:space="preserve"> РАЗВИТИЕ</w:t>
      </w:r>
    </w:p>
    <w:p w14:paraId="498D42A5" w14:textId="77777777" w:rsidR="009E1386" w:rsidRPr="00666694" w:rsidRDefault="00666694" w:rsidP="009E1386">
      <w:pPr>
        <w:jc w:val="center"/>
        <w:rPr>
          <w:b/>
          <w:i/>
          <w:sz w:val="56"/>
          <w:szCs w:val="56"/>
          <w:lang w:val="ky-KG"/>
        </w:rPr>
      </w:pPr>
      <w:r>
        <w:rPr>
          <w:b/>
          <w:i/>
          <w:sz w:val="56"/>
          <w:szCs w:val="56"/>
          <w:lang w:val="ky-KG"/>
        </w:rPr>
        <w:t>ДЖАЛАЛ-АБАДСКОЙ</w:t>
      </w:r>
    </w:p>
    <w:p w14:paraId="4B429712" w14:textId="77777777" w:rsidR="009E1386" w:rsidRPr="006F7403" w:rsidRDefault="009E1386" w:rsidP="009E1386">
      <w:pPr>
        <w:jc w:val="center"/>
        <w:rPr>
          <w:b/>
          <w:i/>
          <w:sz w:val="72"/>
          <w:szCs w:val="72"/>
        </w:rPr>
      </w:pPr>
      <w:r w:rsidRPr="00687390">
        <w:rPr>
          <w:b/>
          <w:i/>
          <w:sz w:val="56"/>
          <w:szCs w:val="56"/>
        </w:rPr>
        <w:t xml:space="preserve"> ОБЛАСТИ</w:t>
      </w:r>
    </w:p>
    <w:p w14:paraId="54AA734A" w14:textId="77777777" w:rsidR="009E1386" w:rsidRDefault="009E1386" w:rsidP="009E1386">
      <w:pPr>
        <w:jc w:val="center"/>
        <w:rPr>
          <w:b/>
          <w:sz w:val="80"/>
        </w:rPr>
      </w:pPr>
    </w:p>
    <w:p w14:paraId="2A15D159" w14:textId="1507021B" w:rsidR="009E1386" w:rsidRPr="00CC4471" w:rsidRDefault="009E1386" w:rsidP="009E1386">
      <w:pPr>
        <w:jc w:val="center"/>
        <w:rPr>
          <w:b/>
          <w:sz w:val="80"/>
        </w:rPr>
      </w:pPr>
      <w:r>
        <w:rPr>
          <w:b/>
          <w:sz w:val="80"/>
        </w:rPr>
        <w:t>20</w:t>
      </w:r>
      <w:r w:rsidR="00BC3DE8">
        <w:rPr>
          <w:b/>
          <w:sz w:val="80"/>
        </w:rPr>
        <w:t>20</w:t>
      </w:r>
      <w:r>
        <w:rPr>
          <w:b/>
          <w:sz w:val="80"/>
        </w:rPr>
        <w:t xml:space="preserve"> – 20</w:t>
      </w:r>
      <w:r w:rsidR="005C7B48">
        <w:rPr>
          <w:b/>
          <w:sz w:val="80"/>
          <w:lang w:val="ky-KG"/>
        </w:rPr>
        <w:t>2</w:t>
      </w:r>
      <w:r w:rsidR="00BC3DE8">
        <w:rPr>
          <w:b/>
          <w:sz w:val="80"/>
          <w:lang w:val="ky-KG"/>
        </w:rPr>
        <w:t>4</w:t>
      </w:r>
    </w:p>
    <w:p w14:paraId="220D19A7" w14:textId="77777777" w:rsidR="009E1386" w:rsidRDefault="009E1386" w:rsidP="009E1386">
      <w:pPr>
        <w:jc w:val="center"/>
        <w:rPr>
          <w:b/>
          <w:sz w:val="24"/>
        </w:rPr>
      </w:pPr>
    </w:p>
    <w:p w14:paraId="6B9DD8BB" w14:textId="77777777" w:rsidR="009E1386" w:rsidRPr="00687390" w:rsidRDefault="009E1386" w:rsidP="009E1386">
      <w:pPr>
        <w:pStyle w:val="24"/>
        <w:jc w:val="center"/>
        <w:rPr>
          <w:sz w:val="36"/>
          <w:szCs w:val="36"/>
        </w:rPr>
      </w:pPr>
      <w:proofErr w:type="spellStart"/>
      <w:r>
        <w:rPr>
          <w:sz w:val="36"/>
          <w:szCs w:val="36"/>
        </w:rPr>
        <w:t>Жылдык</w:t>
      </w:r>
      <w:proofErr w:type="spellEnd"/>
      <w:r>
        <w:rPr>
          <w:sz w:val="36"/>
          <w:szCs w:val="36"/>
        </w:rPr>
        <w:t xml:space="preserve"> </w:t>
      </w:r>
      <w:proofErr w:type="spellStart"/>
      <w:r w:rsidRPr="00687390">
        <w:rPr>
          <w:sz w:val="36"/>
          <w:szCs w:val="36"/>
        </w:rPr>
        <w:t>чыгарылыш</w:t>
      </w:r>
      <w:proofErr w:type="spellEnd"/>
    </w:p>
    <w:p w14:paraId="21907F90" w14:textId="77777777" w:rsidR="009E1386" w:rsidRDefault="009E1386" w:rsidP="009E1386">
      <w:pPr>
        <w:jc w:val="center"/>
        <w:rPr>
          <w:b/>
          <w:sz w:val="24"/>
        </w:rPr>
      </w:pPr>
    </w:p>
    <w:p w14:paraId="3F7A7414" w14:textId="77777777" w:rsidR="009E1386" w:rsidRPr="00687390" w:rsidRDefault="009E1386" w:rsidP="009E1386">
      <w:pPr>
        <w:jc w:val="center"/>
        <w:rPr>
          <w:i/>
          <w:sz w:val="36"/>
        </w:rPr>
      </w:pPr>
      <w:r w:rsidRPr="00687390">
        <w:rPr>
          <w:i/>
          <w:sz w:val="36"/>
        </w:rPr>
        <w:t>Годовая публикация</w:t>
      </w:r>
    </w:p>
    <w:p w14:paraId="57C40904" w14:textId="77777777" w:rsidR="009E1386" w:rsidRDefault="009E1386" w:rsidP="009E1386">
      <w:pPr>
        <w:rPr>
          <w:sz w:val="24"/>
        </w:rPr>
      </w:pPr>
    </w:p>
    <w:p w14:paraId="169AD1EC" w14:textId="77777777" w:rsidR="009E1386" w:rsidRDefault="009E1386" w:rsidP="009E1386">
      <w:pPr>
        <w:rPr>
          <w:sz w:val="24"/>
        </w:rPr>
      </w:pPr>
    </w:p>
    <w:p w14:paraId="4C73FAB0" w14:textId="77777777" w:rsidR="009E1386" w:rsidRDefault="009E1386" w:rsidP="009E1386">
      <w:pPr>
        <w:rPr>
          <w:sz w:val="24"/>
        </w:rPr>
      </w:pPr>
    </w:p>
    <w:p w14:paraId="1865155F" w14:textId="77777777" w:rsidR="009E1386" w:rsidRDefault="009E1386" w:rsidP="009E1386">
      <w:pPr>
        <w:rPr>
          <w:sz w:val="24"/>
          <w:lang w:val="ky-KG"/>
        </w:rPr>
      </w:pPr>
    </w:p>
    <w:p w14:paraId="78F19268" w14:textId="77777777" w:rsidR="00525D2F" w:rsidRDefault="00525D2F" w:rsidP="009E1386">
      <w:pPr>
        <w:rPr>
          <w:sz w:val="24"/>
          <w:lang w:val="ky-KG"/>
        </w:rPr>
      </w:pPr>
    </w:p>
    <w:p w14:paraId="668AA91F" w14:textId="77777777" w:rsidR="00525D2F" w:rsidRDefault="00525D2F" w:rsidP="009E1386">
      <w:pPr>
        <w:rPr>
          <w:sz w:val="24"/>
          <w:lang w:val="ky-KG"/>
        </w:rPr>
      </w:pPr>
    </w:p>
    <w:p w14:paraId="70870883" w14:textId="77777777" w:rsidR="00525D2F" w:rsidRPr="00525D2F" w:rsidRDefault="00525D2F" w:rsidP="009E1386">
      <w:pPr>
        <w:rPr>
          <w:sz w:val="24"/>
          <w:lang w:val="ky-KG"/>
        </w:rPr>
      </w:pPr>
    </w:p>
    <w:p w14:paraId="075E8C45" w14:textId="77777777" w:rsidR="009E1386" w:rsidRDefault="009E1386" w:rsidP="009E1386">
      <w:pPr>
        <w:rPr>
          <w:sz w:val="24"/>
        </w:rPr>
      </w:pPr>
    </w:p>
    <w:p w14:paraId="5137DE26" w14:textId="1025DB6D" w:rsidR="009E1386" w:rsidRPr="00BB6F0D" w:rsidRDefault="00202C27" w:rsidP="009E1386">
      <w:pPr>
        <w:jc w:val="center"/>
        <w:rPr>
          <w:sz w:val="24"/>
        </w:rPr>
      </w:pPr>
      <w:r>
        <w:rPr>
          <w:sz w:val="24"/>
          <w:lang w:val="ky-KG"/>
        </w:rPr>
        <w:t>Манас</w:t>
      </w:r>
      <w:r w:rsidR="009E1386">
        <w:rPr>
          <w:sz w:val="24"/>
        </w:rPr>
        <w:t xml:space="preserve"> – 20</w:t>
      </w:r>
      <w:r w:rsidR="00666694">
        <w:rPr>
          <w:sz w:val="24"/>
          <w:lang w:val="ky-KG"/>
        </w:rPr>
        <w:t>2</w:t>
      </w:r>
      <w:r w:rsidR="00BC3DE8">
        <w:rPr>
          <w:sz w:val="24"/>
          <w:lang w:val="ky-KG"/>
        </w:rPr>
        <w:t>5</w:t>
      </w:r>
    </w:p>
    <w:p w14:paraId="675242A6" w14:textId="77777777" w:rsidR="00525D2F" w:rsidRDefault="00525D2F" w:rsidP="009E1386">
      <w:pPr>
        <w:jc w:val="center"/>
        <w:rPr>
          <w:sz w:val="24"/>
          <w:lang w:val="ky-KG"/>
        </w:rPr>
      </w:pPr>
    </w:p>
    <w:p w14:paraId="59D3DB41" w14:textId="77777777" w:rsidR="00525D2F" w:rsidRPr="00525D2F" w:rsidRDefault="00525D2F" w:rsidP="009E1386">
      <w:pPr>
        <w:jc w:val="center"/>
        <w:rPr>
          <w:sz w:val="24"/>
          <w:lang w:val="ky-KG"/>
        </w:rPr>
      </w:pPr>
    </w:p>
    <w:tbl>
      <w:tblPr>
        <w:tblW w:w="9854" w:type="dxa"/>
        <w:tblLook w:val="04A0" w:firstRow="1" w:lastRow="0" w:firstColumn="1" w:lastColumn="0" w:noHBand="0" w:noVBand="1"/>
      </w:tblPr>
      <w:tblGrid>
        <w:gridCol w:w="4927"/>
        <w:gridCol w:w="4927"/>
      </w:tblGrid>
      <w:tr w:rsidR="00445855" w:rsidRPr="00B75343" w14:paraId="754F547E" w14:textId="77777777" w:rsidTr="00445855">
        <w:trPr>
          <w:trHeight w:val="209"/>
        </w:trPr>
        <w:tc>
          <w:tcPr>
            <w:tcW w:w="4927" w:type="dxa"/>
          </w:tcPr>
          <w:p w14:paraId="2F8F3D9B" w14:textId="4451B986" w:rsidR="00445855" w:rsidRPr="00445855" w:rsidRDefault="00057D72" w:rsidP="00445855">
            <w:pPr>
              <w:ind w:firstLine="460"/>
              <w:rPr>
                <w:b/>
              </w:rPr>
            </w:pPr>
            <w:r>
              <w:rPr>
                <w:b/>
                <w:lang w:val="ky-KG"/>
              </w:rPr>
              <w:t>Жалал-Абад</w:t>
            </w:r>
            <w:r w:rsidR="00445855">
              <w:rPr>
                <w:b/>
              </w:rPr>
              <w:t xml:space="preserve"> </w:t>
            </w:r>
            <w:proofErr w:type="spellStart"/>
            <w:r w:rsidR="00445855">
              <w:rPr>
                <w:b/>
              </w:rPr>
              <w:t>облусунун</w:t>
            </w:r>
            <w:proofErr w:type="spellEnd"/>
            <w:r w:rsidR="00445855">
              <w:rPr>
                <w:b/>
              </w:rPr>
              <w:t xml:space="preserve"> </w:t>
            </w:r>
            <w:r w:rsidR="00C81359" w:rsidRPr="00445855">
              <w:rPr>
                <w:b/>
              </w:rPr>
              <w:t>20</w:t>
            </w:r>
            <w:r w:rsidR="00BC3DE8">
              <w:rPr>
                <w:b/>
              </w:rPr>
              <w:t>20</w:t>
            </w:r>
            <w:r w:rsidR="00C81359" w:rsidRPr="00445855">
              <w:rPr>
                <w:b/>
              </w:rPr>
              <w:t>-20</w:t>
            </w:r>
            <w:r w:rsidR="005C7B48">
              <w:rPr>
                <w:b/>
                <w:lang w:val="ky-KG"/>
              </w:rPr>
              <w:t>2</w:t>
            </w:r>
            <w:r w:rsidR="00BC3DE8">
              <w:rPr>
                <w:b/>
                <w:lang w:val="ky-KG"/>
              </w:rPr>
              <w:t>4</w:t>
            </w:r>
            <w:r w:rsidR="00C81359">
              <w:rPr>
                <w:b/>
              </w:rPr>
              <w:t>-</w:t>
            </w:r>
            <w:proofErr w:type="spellStart"/>
            <w:r w:rsidR="00C81359">
              <w:rPr>
                <w:b/>
              </w:rPr>
              <w:t>жылдардагы</w:t>
            </w:r>
            <w:proofErr w:type="spellEnd"/>
            <w:r w:rsidR="00C81359">
              <w:rPr>
                <w:b/>
              </w:rPr>
              <w:t xml:space="preserve"> </w:t>
            </w:r>
            <w:proofErr w:type="spellStart"/>
            <w:r w:rsidR="00C81359">
              <w:rPr>
                <w:b/>
              </w:rPr>
              <w:t>с</w:t>
            </w:r>
            <w:r w:rsidR="00445855" w:rsidRPr="00445855">
              <w:rPr>
                <w:b/>
              </w:rPr>
              <w:t>оциал</w:t>
            </w:r>
            <w:r w:rsidR="00445855">
              <w:rPr>
                <w:b/>
              </w:rPr>
              <w:t>дык</w:t>
            </w:r>
            <w:r w:rsidR="00445855" w:rsidRPr="00445855">
              <w:rPr>
                <w:b/>
              </w:rPr>
              <w:t>-экономи</w:t>
            </w:r>
            <w:r w:rsidR="00445855">
              <w:rPr>
                <w:b/>
              </w:rPr>
              <w:t>калык</w:t>
            </w:r>
            <w:proofErr w:type="spellEnd"/>
            <w:r w:rsidR="00445855">
              <w:rPr>
                <w:b/>
              </w:rPr>
              <w:t xml:space="preserve"> </w:t>
            </w:r>
            <w:r w:rsidR="000E6AF6">
              <w:rPr>
                <w:b/>
                <w:lang w:val="ky-KG"/>
              </w:rPr>
              <w:t>өнүгүүсү</w:t>
            </w:r>
          </w:p>
          <w:p w14:paraId="253B39DA" w14:textId="77777777" w:rsidR="00445855" w:rsidRPr="005F0694" w:rsidRDefault="00445855" w:rsidP="00445855"/>
        </w:tc>
        <w:tc>
          <w:tcPr>
            <w:tcW w:w="4927" w:type="dxa"/>
          </w:tcPr>
          <w:p w14:paraId="6C27322A" w14:textId="2C2ECE05" w:rsidR="00445855" w:rsidRPr="00B75343" w:rsidRDefault="00445855" w:rsidP="00445855">
            <w:pPr>
              <w:ind w:firstLine="460"/>
              <w:rPr>
                <w:b/>
                <w:i/>
              </w:rPr>
            </w:pPr>
            <w:r w:rsidRPr="00B75343">
              <w:rPr>
                <w:b/>
                <w:i/>
              </w:rPr>
              <w:t xml:space="preserve">Социально-экономическое развитие </w:t>
            </w:r>
            <w:r w:rsidR="00057D72">
              <w:rPr>
                <w:b/>
                <w:i/>
                <w:lang w:val="ky-KG"/>
              </w:rPr>
              <w:t>Джалал-Абадс</w:t>
            </w:r>
            <w:r w:rsidRPr="00B75343">
              <w:rPr>
                <w:b/>
                <w:i/>
              </w:rPr>
              <w:t>кой области 20</w:t>
            </w:r>
            <w:r w:rsidR="00BC3DE8">
              <w:rPr>
                <w:b/>
                <w:i/>
              </w:rPr>
              <w:t>20</w:t>
            </w:r>
            <w:r w:rsidR="00525D2F">
              <w:rPr>
                <w:b/>
                <w:i/>
                <w:lang w:val="ky-KG"/>
              </w:rPr>
              <w:t>-</w:t>
            </w:r>
            <w:r w:rsidRPr="00B75343">
              <w:rPr>
                <w:b/>
                <w:i/>
              </w:rPr>
              <w:t>20</w:t>
            </w:r>
            <w:r w:rsidR="005C7B48">
              <w:rPr>
                <w:b/>
                <w:i/>
                <w:lang w:val="ky-KG"/>
              </w:rPr>
              <w:t>2</w:t>
            </w:r>
            <w:r w:rsidR="00BC3DE8">
              <w:rPr>
                <w:b/>
                <w:i/>
                <w:lang w:val="ky-KG"/>
              </w:rPr>
              <w:t>4</w:t>
            </w:r>
            <w:r w:rsidRPr="00B75343">
              <w:rPr>
                <w:b/>
                <w:i/>
              </w:rPr>
              <w:t>гг.</w:t>
            </w:r>
          </w:p>
          <w:p w14:paraId="36BC6A86" w14:textId="77777777" w:rsidR="00445855" w:rsidRPr="00B75343" w:rsidRDefault="00445855" w:rsidP="00445855">
            <w:pPr>
              <w:rPr>
                <w:sz w:val="24"/>
              </w:rPr>
            </w:pPr>
          </w:p>
        </w:tc>
      </w:tr>
    </w:tbl>
    <w:p w14:paraId="7F69605A" w14:textId="77777777" w:rsidR="009E1386" w:rsidRDefault="009E1386" w:rsidP="009E1386">
      <w:pPr>
        <w:rPr>
          <w:sz w:val="24"/>
        </w:rPr>
      </w:pPr>
    </w:p>
    <w:p w14:paraId="08A26332" w14:textId="77777777" w:rsidR="006E3545" w:rsidRDefault="006E3545" w:rsidP="006E3545">
      <w:pPr>
        <w:rPr>
          <w:sz w:val="24"/>
        </w:rPr>
      </w:pPr>
    </w:p>
    <w:tbl>
      <w:tblPr>
        <w:tblW w:w="0" w:type="auto"/>
        <w:tblLook w:val="04A0" w:firstRow="1" w:lastRow="0" w:firstColumn="1" w:lastColumn="0" w:noHBand="0" w:noVBand="1"/>
      </w:tblPr>
      <w:tblGrid>
        <w:gridCol w:w="4818"/>
        <w:gridCol w:w="4820"/>
      </w:tblGrid>
      <w:tr w:rsidR="00445855" w:rsidRPr="002D1CD6" w14:paraId="36CF7704" w14:textId="77777777" w:rsidTr="00445855">
        <w:tc>
          <w:tcPr>
            <w:tcW w:w="4927" w:type="dxa"/>
          </w:tcPr>
          <w:p w14:paraId="58C42A70" w14:textId="77777777" w:rsidR="00445855" w:rsidRPr="002D1CD6" w:rsidRDefault="00445855" w:rsidP="00445855">
            <w:pPr>
              <w:pStyle w:val="af2"/>
            </w:pPr>
            <w:proofErr w:type="spellStart"/>
            <w:r w:rsidRPr="002D1CD6">
              <w:t>Редакциялык-басмалык</w:t>
            </w:r>
            <w:proofErr w:type="spellEnd"/>
            <w:r w:rsidRPr="002D1CD6">
              <w:t xml:space="preserve"> Кенеш:</w:t>
            </w:r>
          </w:p>
        </w:tc>
        <w:tc>
          <w:tcPr>
            <w:tcW w:w="4928" w:type="dxa"/>
          </w:tcPr>
          <w:p w14:paraId="789CEA25" w14:textId="77777777" w:rsidR="00445855" w:rsidRPr="002D1CD6" w:rsidRDefault="00445855" w:rsidP="00445855">
            <w:r w:rsidRPr="002D1CD6">
              <w:rPr>
                <w:i/>
              </w:rPr>
              <w:t>Редакционный Совет:</w:t>
            </w:r>
          </w:p>
        </w:tc>
      </w:tr>
    </w:tbl>
    <w:p w14:paraId="5015ABBE" w14:textId="77777777" w:rsidR="00445855" w:rsidRPr="002D1CD6" w:rsidRDefault="00445855" w:rsidP="00445855">
      <w:pPr>
        <w:rPr>
          <w:sz w:val="18"/>
        </w:rPr>
      </w:pPr>
    </w:p>
    <w:p w14:paraId="6A6A8950" w14:textId="77777777" w:rsidR="00445855" w:rsidRPr="002D1CD6" w:rsidRDefault="00445855" w:rsidP="00445855">
      <w:pPr>
        <w:ind w:left="708"/>
        <w:rPr>
          <w:sz w:val="18"/>
        </w:rPr>
      </w:pPr>
    </w:p>
    <w:tbl>
      <w:tblPr>
        <w:tblW w:w="0" w:type="auto"/>
        <w:tblInd w:w="1668" w:type="dxa"/>
        <w:tblLayout w:type="fixed"/>
        <w:tblLook w:val="0000" w:firstRow="0" w:lastRow="0" w:firstColumn="0" w:lastColumn="0" w:noHBand="0" w:noVBand="0"/>
      </w:tblPr>
      <w:tblGrid>
        <w:gridCol w:w="2126"/>
        <w:gridCol w:w="283"/>
        <w:gridCol w:w="2977"/>
        <w:gridCol w:w="1559"/>
      </w:tblGrid>
      <w:tr w:rsidR="00445855" w:rsidRPr="002D1CD6" w14:paraId="13C37852" w14:textId="77777777" w:rsidTr="00445855">
        <w:tc>
          <w:tcPr>
            <w:tcW w:w="2126" w:type="dxa"/>
          </w:tcPr>
          <w:p w14:paraId="1422B47B" w14:textId="77777777" w:rsidR="00445855" w:rsidRPr="002D1CD6" w:rsidRDefault="00445855" w:rsidP="00445855">
            <w:proofErr w:type="spellStart"/>
            <w:r w:rsidRPr="002D1CD6">
              <w:t>Төрага</w:t>
            </w:r>
            <w:proofErr w:type="spellEnd"/>
          </w:p>
        </w:tc>
        <w:tc>
          <w:tcPr>
            <w:tcW w:w="283" w:type="dxa"/>
          </w:tcPr>
          <w:p w14:paraId="1272942D" w14:textId="77777777" w:rsidR="00445855" w:rsidRPr="002D1CD6" w:rsidRDefault="00445855" w:rsidP="00445855">
            <w:pPr>
              <w:jc w:val="right"/>
            </w:pPr>
            <w:r w:rsidRPr="002D1CD6">
              <w:t>-</w:t>
            </w:r>
          </w:p>
        </w:tc>
        <w:tc>
          <w:tcPr>
            <w:tcW w:w="2977" w:type="dxa"/>
          </w:tcPr>
          <w:p w14:paraId="50AB2C62" w14:textId="77777777" w:rsidR="00445855" w:rsidRPr="00DC123A" w:rsidRDefault="00DC123A" w:rsidP="00445855">
            <w:pPr>
              <w:rPr>
                <w:lang w:val="ky-KG"/>
              </w:rPr>
            </w:pPr>
            <w:proofErr w:type="spellStart"/>
            <w:r>
              <w:rPr>
                <w:lang w:val="en-US"/>
              </w:rPr>
              <w:t>Масабиров</w:t>
            </w:r>
            <w:proofErr w:type="spellEnd"/>
            <w:r>
              <w:rPr>
                <w:lang w:val="en-US"/>
              </w:rPr>
              <w:t xml:space="preserve"> И.А.</w:t>
            </w:r>
          </w:p>
        </w:tc>
        <w:tc>
          <w:tcPr>
            <w:tcW w:w="1559" w:type="dxa"/>
          </w:tcPr>
          <w:p w14:paraId="51D2819E" w14:textId="77777777" w:rsidR="00445855" w:rsidRPr="002D1CD6" w:rsidRDefault="00445855" w:rsidP="00445855">
            <w:pPr>
              <w:rPr>
                <w:i/>
              </w:rPr>
            </w:pPr>
            <w:r w:rsidRPr="002D1CD6">
              <w:rPr>
                <w:i/>
              </w:rPr>
              <w:t>Председатель</w:t>
            </w:r>
          </w:p>
        </w:tc>
      </w:tr>
      <w:tr w:rsidR="00445855" w:rsidRPr="002D1CD6" w14:paraId="10609868" w14:textId="77777777" w:rsidTr="00445855">
        <w:tc>
          <w:tcPr>
            <w:tcW w:w="2126" w:type="dxa"/>
          </w:tcPr>
          <w:p w14:paraId="4CEBA72C" w14:textId="77777777" w:rsidR="00445855" w:rsidRPr="002D1CD6" w:rsidRDefault="00445855" w:rsidP="00445855">
            <w:proofErr w:type="spellStart"/>
            <w:r w:rsidRPr="002D1CD6">
              <w:t>Мүчөлөр</w:t>
            </w:r>
            <w:proofErr w:type="spellEnd"/>
            <w:r w:rsidRPr="002D1CD6">
              <w:t>:</w:t>
            </w:r>
          </w:p>
        </w:tc>
        <w:tc>
          <w:tcPr>
            <w:tcW w:w="283" w:type="dxa"/>
          </w:tcPr>
          <w:p w14:paraId="07792478" w14:textId="77777777" w:rsidR="00445855" w:rsidRPr="002D1CD6" w:rsidRDefault="00445855" w:rsidP="00445855">
            <w:pPr>
              <w:jc w:val="right"/>
            </w:pPr>
            <w:r w:rsidRPr="002D1CD6">
              <w:t>-</w:t>
            </w:r>
          </w:p>
        </w:tc>
        <w:tc>
          <w:tcPr>
            <w:tcW w:w="2977" w:type="dxa"/>
          </w:tcPr>
          <w:p w14:paraId="4D78CF22" w14:textId="2A23BC3A" w:rsidR="00445855" w:rsidRPr="00057D72" w:rsidRDefault="00057D72" w:rsidP="00445855">
            <w:pPr>
              <w:rPr>
                <w:lang w:val="ky-KG"/>
              </w:rPr>
            </w:pPr>
            <w:r>
              <w:rPr>
                <w:lang w:val="ky-KG"/>
              </w:rPr>
              <w:t>.</w:t>
            </w:r>
            <w:r w:rsidR="001A3AAB">
              <w:rPr>
                <w:lang w:val="ky-KG"/>
              </w:rPr>
              <w:t>Айтиев.Б.М.</w:t>
            </w:r>
          </w:p>
        </w:tc>
        <w:tc>
          <w:tcPr>
            <w:tcW w:w="1559" w:type="dxa"/>
          </w:tcPr>
          <w:p w14:paraId="2EAF2664" w14:textId="77777777" w:rsidR="00445855" w:rsidRPr="002D1CD6" w:rsidRDefault="00445855" w:rsidP="00445855">
            <w:pPr>
              <w:rPr>
                <w:i/>
              </w:rPr>
            </w:pPr>
            <w:r w:rsidRPr="002D1CD6">
              <w:rPr>
                <w:i/>
              </w:rPr>
              <w:t>Члены:</w:t>
            </w:r>
          </w:p>
        </w:tc>
      </w:tr>
      <w:tr w:rsidR="00BC3DE8" w:rsidRPr="002D1CD6" w14:paraId="18E67CA8" w14:textId="77777777" w:rsidTr="00445855">
        <w:tc>
          <w:tcPr>
            <w:tcW w:w="2126" w:type="dxa"/>
          </w:tcPr>
          <w:p w14:paraId="64C38B98" w14:textId="77777777" w:rsidR="00BC3DE8" w:rsidRPr="002D1CD6" w:rsidRDefault="00BC3DE8" w:rsidP="00BC3DE8"/>
        </w:tc>
        <w:tc>
          <w:tcPr>
            <w:tcW w:w="283" w:type="dxa"/>
          </w:tcPr>
          <w:p w14:paraId="3CCF40CD" w14:textId="77777777" w:rsidR="00BC3DE8" w:rsidRPr="002D1CD6" w:rsidRDefault="00BC3DE8" w:rsidP="00BC3DE8">
            <w:pPr>
              <w:jc w:val="right"/>
            </w:pPr>
            <w:r w:rsidRPr="002D1CD6">
              <w:t>-</w:t>
            </w:r>
          </w:p>
        </w:tc>
        <w:tc>
          <w:tcPr>
            <w:tcW w:w="2977" w:type="dxa"/>
          </w:tcPr>
          <w:p w14:paraId="75F5D89A" w14:textId="4AFB4813" w:rsidR="00BC3DE8" w:rsidRPr="00ED6222" w:rsidRDefault="00D55F6C" w:rsidP="00BC3DE8">
            <w:pPr>
              <w:rPr>
                <w:lang w:val="ky-KG"/>
              </w:rPr>
            </w:pPr>
            <w:r>
              <w:rPr>
                <w:lang w:val="ky-KG"/>
              </w:rPr>
              <w:t>Айтбаева.Н.Ж</w:t>
            </w:r>
          </w:p>
        </w:tc>
        <w:tc>
          <w:tcPr>
            <w:tcW w:w="1559" w:type="dxa"/>
          </w:tcPr>
          <w:p w14:paraId="73838DDE" w14:textId="77777777" w:rsidR="00BC3DE8" w:rsidRPr="002D1CD6" w:rsidRDefault="00BC3DE8" w:rsidP="00BC3DE8">
            <w:pPr>
              <w:rPr>
                <w:i/>
              </w:rPr>
            </w:pPr>
          </w:p>
        </w:tc>
      </w:tr>
      <w:tr w:rsidR="00BC3DE8" w:rsidRPr="002D1CD6" w14:paraId="139338B2" w14:textId="77777777" w:rsidTr="00445855">
        <w:tc>
          <w:tcPr>
            <w:tcW w:w="2126" w:type="dxa"/>
          </w:tcPr>
          <w:p w14:paraId="5D48E803" w14:textId="77777777" w:rsidR="00BC3DE8" w:rsidRPr="002D1CD6" w:rsidRDefault="00BC3DE8" w:rsidP="00BC3DE8"/>
        </w:tc>
        <w:tc>
          <w:tcPr>
            <w:tcW w:w="283" w:type="dxa"/>
          </w:tcPr>
          <w:p w14:paraId="50F990A8" w14:textId="77777777" w:rsidR="00BC3DE8" w:rsidRPr="002D1CD6" w:rsidRDefault="00BC3DE8" w:rsidP="00BC3DE8">
            <w:pPr>
              <w:jc w:val="right"/>
            </w:pPr>
            <w:r w:rsidRPr="002D1CD6">
              <w:t>-</w:t>
            </w:r>
          </w:p>
        </w:tc>
        <w:tc>
          <w:tcPr>
            <w:tcW w:w="2977" w:type="dxa"/>
          </w:tcPr>
          <w:p w14:paraId="112F6782" w14:textId="403A8921" w:rsidR="00BC3DE8" w:rsidRPr="00ED6222" w:rsidRDefault="00D55F6C" w:rsidP="00BC3DE8">
            <w:pPr>
              <w:rPr>
                <w:lang w:val="ky-KG"/>
              </w:rPr>
            </w:pPr>
            <w:r w:rsidRPr="00ED6222">
              <w:rPr>
                <w:lang w:val="ky-KG"/>
              </w:rPr>
              <w:t>Касымалиева Р.Б.</w:t>
            </w:r>
          </w:p>
        </w:tc>
        <w:tc>
          <w:tcPr>
            <w:tcW w:w="1559" w:type="dxa"/>
          </w:tcPr>
          <w:p w14:paraId="62A29DF9" w14:textId="77777777" w:rsidR="00BC3DE8" w:rsidRPr="002D1CD6" w:rsidRDefault="00BC3DE8" w:rsidP="00BC3DE8">
            <w:pPr>
              <w:rPr>
                <w:i/>
              </w:rPr>
            </w:pPr>
          </w:p>
        </w:tc>
      </w:tr>
      <w:tr w:rsidR="00BC3DE8" w:rsidRPr="002D1CD6" w14:paraId="1CB913B5" w14:textId="77777777" w:rsidTr="00445855">
        <w:tc>
          <w:tcPr>
            <w:tcW w:w="2126" w:type="dxa"/>
          </w:tcPr>
          <w:p w14:paraId="11F2B2F9" w14:textId="77777777" w:rsidR="00BC3DE8" w:rsidRPr="002D1CD6" w:rsidRDefault="00BC3DE8" w:rsidP="00BC3DE8"/>
        </w:tc>
        <w:tc>
          <w:tcPr>
            <w:tcW w:w="283" w:type="dxa"/>
          </w:tcPr>
          <w:p w14:paraId="26C8B7AD" w14:textId="77777777" w:rsidR="00BC3DE8" w:rsidRPr="002D1CD6" w:rsidRDefault="00BC3DE8" w:rsidP="00BC3DE8">
            <w:pPr>
              <w:jc w:val="right"/>
              <w:rPr>
                <w:lang w:val="ky-KG"/>
              </w:rPr>
            </w:pPr>
            <w:r w:rsidRPr="002D1CD6">
              <w:rPr>
                <w:lang w:val="ky-KG"/>
              </w:rPr>
              <w:t>-</w:t>
            </w:r>
          </w:p>
        </w:tc>
        <w:tc>
          <w:tcPr>
            <w:tcW w:w="2977" w:type="dxa"/>
          </w:tcPr>
          <w:p w14:paraId="7D3B2AAE" w14:textId="6654ED3C" w:rsidR="00BC3DE8" w:rsidRPr="00ED6222" w:rsidRDefault="00D55F6C" w:rsidP="00BC3DE8">
            <w:pPr>
              <w:rPr>
                <w:lang w:val="ky-KG"/>
              </w:rPr>
            </w:pPr>
            <w:r>
              <w:rPr>
                <w:lang w:val="ky-KG"/>
              </w:rPr>
              <w:t>Атчабарова.А.К.</w:t>
            </w:r>
          </w:p>
        </w:tc>
        <w:tc>
          <w:tcPr>
            <w:tcW w:w="1559" w:type="dxa"/>
          </w:tcPr>
          <w:p w14:paraId="61E15650" w14:textId="77777777" w:rsidR="00BC3DE8" w:rsidRPr="002D1CD6" w:rsidRDefault="00BC3DE8" w:rsidP="00BC3DE8">
            <w:pPr>
              <w:rPr>
                <w:i/>
              </w:rPr>
            </w:pPr>
          </w:p>
        </w:tc>
      </w:tr>
      <w:tr w:rsidR="00D55F6C" w:rsidRPr="002D1CD6" w14:paraId="391E3CA8" w14:textId="77777777" w:rsidTr="00445855">
        <w:tc>
          <w:tcPr>
            <w:tcW w:w="2126" w:type="dxa"/>
          </w:tcPr>
          <w:p w14:paraId="0335B5AA" w14:textId="77777777" w:rsidR="00D55F6C" w:rsidRPr="002D1CD6" w:rsidRDefault="00D55F6C" w:rsidP="00D55F6C"/>
        </w:tc>
        <w:tc>
          <w:tcPr>
            <w:tcW w:w="283" w:type="dxa"/>
          </w:tcPr>
          <w:p w14:paraId="3E86E2FF" w14:textId="1ED7C2BC" w:rsidR="00D55F6C" w:rsidRPr="00D55F6C" w:rsidRDefault="00D55F6C" w:rsidP="00D55F6C">
            <w:pPr>
              <w:jc w:val="right"/>
            </w:pPr>
          </w:p>
        </w:tc>
        <w:tc>
          <w:tcPr>
            <w:tcW w:w="2977" w:type="dxa"/>
          </w:tcPr>
          <w:p w14:paraId="57BF18DE" w14:textId="2508D353" w:rsidR="00D55F6C" w:rsidRPr="00ED6222" w:rsidRDefault="00D55F6C" w:rsidP="00D55F6C">
            <w:pPr>
              <w:rPr>
                <w:lang w:val="ky-KG"/>
              </w:rPr>
            </w:pPr>
          </w:p>
        </w:tc>
        <w:tc>
          <w:tcPr>
            <w:tcW w:w="1559" w:type="dxa"/>
          </w:tcPr>
          <w:p w14:paraId="5929F163" w14:textId="77777777" w:rsidR="00D55F6C" w:rsidRPr="002D1CD6" w:rsidRDefault="00D55F6C" w:rsidP="00D55F6C">
            <w:pPr>
              <w:rPr>
                <w:i/>
              </w:rPr>
            </w:pPr>
          </w:p>
        </w:tc>
      </w:tr>
      <w:tr w:rsidR="00D55F6C" w:rsidRPr="002D1CD6" w14:paraId="043901E8" w14:textId="77777777" w:rsidTr="00445855">
        <w:tc>
          <w:tcPr>
            <w:tcW w:w="2126" w:type="dxa"/>
          </w:tcPr>
          <w:p w14:paraId="5809BCC4" w14:textId="77777777" w:rsidR="00D55F6C" w:rsidRPr="002D1CD6" w:rsidRDefault="00D55F6C" w:rsidP="00D55F6C"/>
        </w:tc>
        <w:tc>
          <w:tcPr>
            <w:tcW w:w="283" w:type="dxa"/>
          </w:tcPr>
          <w:p w14:paraId="089B8CD7" w14:textId="7F545C58" w:rsidR="00D55F6C" w:rsidRPr="002D1CD6" w:rsidRDefault="00D55F6C" w:rsidP="00D55F6C">
            <w:pPr>
              <w:jc w:val="right"/>
            </w:pPr>
          </w:p>
        </w:tc>
        <w:tc>
          <w:tcPr>
            <w:tcW w:w="2977" w:type="dxa"/>
          </w:tcPr>
          <w:p w14:paraId="5276BB38" w14:textId="631E0C48" w:rsidR="00D55F6C" w:rsidRPr="00ED6222" w:rsidRDefault="00D55F6C" w:rsidP="00D55F6C">
            <w:pPr>
              <w:rPr>
                <w:lang w:val="ky-KG"/>
              </w:rPr>
            </w:pPr>
          </w:p>
        </w:tc>
        <w:tc>
          <w:tcPr>
            <w:tcW w:w="1559" w:type="dxa"/>
          </w:tcPr>
          <w:p w14:paraId="2FF92624" w14:textId="77777777" w:rsidR="00D55F6C" w:rsidRPr="002D1CD6" w:rsidRDefault="00D55F6C" w:rsidP="00D55F6C">
            <w:pPr>
              <w:rPr>
                <w:i/>
              </w:rPr>
            </w:pPr>
          </w:p>
        </w:tc>
      </w:tr>
      <w:tr w:rsidR="00D55F6C" w:rsidRPr="002D1CD6" w14:paraId="0BAB1352" w14:textId="77777777" w:rsidTr="00445855">
        <w:tc>
          <w:tcPr>
            <w:tcW w:w="2126" w:type="dxa"/>
          </w:tcPr>
          <w:p w14:paraId="1A0AD80E" w14:textId="77777777" w:rsidR="00D55F6C" w:rsidRPr="002D1CD6" w:rsidRDefault="00D55F6C" w:rsidP="00D55F6C"/>
        </w:tc>
        <w:tc>
          <w:tcPr>
            <w:tcW w:w="283" w:type="dxa"/>
          </w:tcPr>
          <w:p w14:paraId="2D0F6276" w14:textId="77777777" w:rsidR="00D55F6C" w:rsidRPr="002D1CD6" w:rsidRDefault="00D55F6C" w:rsidP="00D55F6C">
            <w:pPr>
              <w:jc w:val="right"/>
            </w:pPr>
          </w:p>
        </w:tc>
        <w:tc>
          <w:tcPr>
            <w:tcW w:w="2977" w:type="dxa"/>
          </w:tcPr>
          <w:p w14:paraId="42410662" w14:textId="77777777" w:rsidR="00D55F6C" w:rsidRPr="00ED6222" w:rsidRDefault="00D55F6C" w:rsidP="00D55F6C">
            <w:pPr>
              <w:rPr>
                <w:lang w:val="ky-KG"/>
              </w:rPr>
            </w:pPr>
          </w:p>
        </w:tc>
        <w:tc>
          <w:tcPr>
            <w:tcW w:w="1559" w:type="dxa"/>
          </w:tcPr>
          <w:p w14:paraId="539EBC4F" w14:textId="77777777" w:rsidR="00D55F6C" w:rsidRPr="002D1CD6" w:rsidRDefault="00D55F6C" w:rsidP="00D55F6C">
            <w:pPr>
              <w:rPr>
                <w:i/>
              </w:rPr>
            </w:pPr>
          </w:p>
        </w:tc>
      </w:tr>
      <w:tr w:rsidR="00D55F6C" w:rsidRPr="002D1CD6" w14:paraId="65588C52" w14:textId="77777777" w:rsidTr="00445855">
        <w:tc>
          <w:tcPr>
            <w:tcW w:w="2126" w:type="dxa"/>
          </w:tcPr>
          <w:p w14:paraId="3D10E47D" w14:textId="77777777" w:rsidR="00D55F6C" w:rsidRPr="002D1CD6" w:rsidRDefault="00D55F6C" w:rsidP="00D55F6C"/>
        </w:tc>
        <w:tc>
          <w:tcPr>
            <w:tcW w:w="283" w:type="dxa"/>
          </w:tcPr>
          <w:p w14:paraId="4C1A75FD" w14:textId="77777777" w:rsidR="00D55F6C" w:rsidRPr="002D1CD6" w:rsidRDefault="00D55F6C" w:rsidP="00D55F6C">
            <w:pPr>
              <w:jc w:val="right"/>
            </w:pPr>
          </w:p>
        </w:tc>
        <w:tc>
          <w:tcPr>
            <w:tcW w:w="2977" w:type="dxa"/>
          </w:tcPr>
          <w:p w14:paraId="2E2D37F0" w14:textId="77777777" w:rsidR="00D55F6C" w:rsidRPr="00ED6222" w:rsidRDefault="00D55F6C" w:rsidP="00D55F6C">
            <w:pPr>
              <w:rPr>
                <w:lang w:val="ky-KG"/>
              </w:rPr>
            </w:pPr>
          </w:p>
        </w:tc>
        <w:tc>
          <w:tcPr>
            <w:tcW w:w="1559" w:type="dxa"/>
          </w:tcPr>
          <w:p w14:paraId="17C7C18A" w14:textId="77777777" w:rsidR="00D55F6C" w:rsidRPr="002D1CD6" w:rsidRDefault="00D55F6C" w:rsidP="00D55F6C">
            <w:pPr>
              <w:rPr>
                <w:i/>
              </w:rPr>
            </w:pPr>
          </w:p>
        </w:tc>
      </w:tr>
      <w:tr w:rsidR="00D55F6C" w:rsidRPr="002D1CD6" w14:paraId="18658F75" w14:textId="77777777" w:rsidTr="00445855">
        <w:tc>
          <w:tcPr>
            <w:tcW w:w="2126" w:type="dxa"/>
          </w:tcPr>
          <w:p w14:paraId="110C00AE" w14:textId="77777777" w:rsidR="00D55F6C" w:rsidRPr="002D1CD6" w:rsidRDefault="00D55F6C" w:rsidP="00D55F6C"/>
        </w:tc>
        <w:tc>
          <w:tcPr>
            <w:tcW w:w="283" w:type="dxa"/>
          </w:tcPr>
          <w:p w14:paraId="1482D35A" w14:textId="77777777" w:rsidR="00D55F6C" w:rsidRPr="002D1CD6" w:rsidRDefault="00D55F6C" w:rsidP="00D55F6C">
            <w:pPr>
              <w:jc w:val="right"/>
            </w:pPr>
          </w:p>
        </w:tc>
        <w:tc>
          <w:tcPr>
            <w:tcW w:w="2977" w:type="dxa"/>
          </w:tcPr>
          <w:p w14:paraId="79F2E9C0" w14:textId="77777777" w:rsidR="00D55F6C" w:rsidRPr="00057D72" w:rsidRDefault="00D55F6C" w:rsidP="00D55F6C">
            <w:pPr>
              <w:rPr>
                <w:color w:val="FF0000"/>
                <w:lang w:val="ky-KG"/>
              </w:rPr>
            </w:pPr>
          </w:p>
        </w:tc>
        <w:tc>
          <w:tcPr>
            <w:tcW w:w="1559" w:type="dxa"/>
          </w:tcPr>
          <w:p w14:paraId="76FE6495" w14:textId="77777777" w:rsidR="00D55F6C" w:rsidRPr="002D1CD6" w:rsidRDefault="00D55F6C" w:rsidP="00D55F6C">
            <w:pPr>
              <w:rPr>
                <w:i/>
              </w:rPr>
            </w:pPr>
          </w:p>
        </w:tc>
      </w:tr>
      <w:tr w:rsidR="00D55F6C" w:rsidRPr="002D1CD6" w14:paraId="3BDF4A21" w14:textId="77777777" w:rsidTr="00445855">
        <w:tc>
          <w:tcPr>
            <w:tcW w:w="2126" w:type="dxa"/>
          </w:tcPr>
          <w:p w14:paraId="0B3D4191" w14:textId="77777777" w:rsidR="00D55F6C" w:rsidRPr="002D1CD6" w:rsidRDefault="00D55F6C" w:rsidP="00D55F6C"/>
        </w:tc>
        <w:tc>
          <w:tcPr>
            <w:tcW w:w="283" w:type="dxa"/>
          </w:tcPr>
          <w:p w14:paraId="480904C8" w14:textId="77777777" w:rsidR="00D55F6C" w:rsidRPr="00495A18" w:rsidRDefault="00D55F6C" w:rsidP="00D55F6C">
            <w:pPr>
              <w:jc w:val="right"/>
              <w:rPr>
                <w:lang w:val="en-US"/>
              </w:rPr>
            </w:pPr>
          </w:p>
        </w:tc>
        <w:tc>
          <w:tcPr>
            <w:tcW w:w="2977" w:type="dxa"/>
          </w:tcPr>
          <w:p w14:paraId="1D0953D6" w14:textId="77777777" w:rsidR="00D55F6C" w:rsidRPr="00057D72" w:rsidRDefault="00D55F6C" w:rsidP="00D55F6C">
            <w:pPr>
              <w:rPr>
                <w:color w:val="FF0000"/>
                <w:lang w:val="ky-KG"/>
              </w:rPr>
            </w:pPr>
          </w:p>
        </w:tc>
        <w:tc>
          <w:tcPr>
            <w:tcW w:w="1559" w:type="dxa"/>
          </w:tcPr>
          <w:p w14:paraId="09E1F0CB" w14:textId="77777777" w:rsidR="00D55F6C" w:rsidRPr="002D1CD6" w:rsidRDefault="00D55F6C" w:rsidP="00D55F6C">
            <w:pPr>
              <w:rPr>
                <w:i/>
              </w:rPr>
            </w:pPr>
          </w:p>
        </w:tc>
      </w:tr>
      <w:tr w:rsidR="00D55F6C" w:rsidRPr="002D1CD6" w14:paraId="62024A4E" w14:textId="77777777" w:rsidTr="00445855">
        <w:tc>
          <w:tcPr>
            <w:tcW w:w="2126" w:type="dxa"/>
          </w:tcPr>
          <w:p w14:paraId="002B982D" w14:textId="77777777" w:rsidR="00D55F6C" w:rsidRPr="002D1CD6" w:rsidRDefault="00D55F6C" w:rsidP="00D55F6C"/>
        </w:tc>
        <w:tc>
          <w:tcPr>
            <w:tcW w:w="283" w:type="dxa"/>
          </w:tcPr>
          <w:p w14:paraId="2379B511" w14:textId="77777777" w:rsidR="00D55F6C" w:rsidRPr="002D1CD6" w:rsidRDefault="00D55F6C" w:rsidP="00D55F6C">
            <w:pPr>
              <w:jc w:val="right"/>
            </w:pPr>
          </w:p>
        </w:tc>
        <w:tc>
          <w:tcPr>
            <w:tcW w:w="2977" w:type="dxa"/>
          </w:tcPr>
          <w:p w14:paraId="0F2401EE" w14:textId="77777777" w:rsidR="00D55F6C" w:rsidRPr="00057D72" w:rsidRDefault="00D55F6C" w:rsidP="00D55F6C">
            <w:pPr>
              <w:rPr>
                <w:color w:val="FF0000"/>
              </w:rPr>
            </w:pPr>
          </w:p>
        </w:tc>
        <w:tc>
          <w:tcPr>
            <w:tcW w:w="1559" w:type="dxa"/>
          </w:tcPr>
          <w:p w14:paraId="736AC486" w14:textId="77777777" w:rsidR="00D55F6C" w:rsidRPr="002D1CD6" w:rsidRDefault="00D55F6C" w:rsidP="00D55F6C">
            <w:pPr>
              <w:rPr>
                <w:i/>
              </w:rPr>
            </w:pPr>
          </w:p>
        </w:tc>
      </w:tr>
    </w:tbl>
    <w:p w14:paraId="0CE97578" w14:textId="77777777" w:rsidR="00445855" w:rsidRPr="002D1CD6" w:rsidRDefault="00445855" w:rsidP="00445855">
      <w:pPr>
        <w:ind w:left="708"/>
        <w:rPr>
          <w:sz w:val="18"/>
        </w:rPr>
      </w:pPr>
    </w:p>
    <w:tbl>
      <w:tblPr>
        <w:tblW w:w="0" w:type="auto"/>
        <w:tblInd w:w="250" w:type="dxa"/>
        <w:tblLook w:val="04A0" w:firstRow="1" w:lastRow="0" w:firstColumn="1" w:lastColumn="0" w:noHBand="0" w:noVBand="1"/>
      </w:tblPr>
      <w:tblGrid>
        <w:gridCol w:w="4485"/>
        <w:gridCol w:w="4903"/>
      </w:tblGrid>
      <w:tr w:rsidR="00445855" w:rsidRPr="005577F3" w14:paraId="527545FE" w14:textId="77777777" w:rsidTr="0017013A">
        <w:tc>
          <w:tcPr>
            <w:tcW w:w="4536" w:type="dxa"/>
          </w:tcPr>
          <w:p w14:paraId="734C3BFB" w14:textId="276C26D9" w:rsidR="00445855" w:rsidRPr="0017013A" w:rsidRDefault="00445855" w:rsidP="00BC3DE8">
            <w:pPr>
              <w:pStyle w:val="30"/>
              <w:ind w:firstLine="0"/>
              <w:jc w:val="left"/>
              <w:rPr>
                <w:rFonts w:ascii="Times New Roman" w:hAnsi="Times New Roman"/>
                <w:sz w:val="18"/>
                <w:szCs w:val="18"/>
                <w:lang w:val="ky-KG"/>
              </w:rPr>
            </w:pPr>
            <w:proofErr w:type="spellStart"/>
            <w:r w:rsidRPr="005577F3">
              <w:rPr>
                <w:rFonts w:ascii="Times New Roman" w:hAnsi="Times New Roman"/>
                <w:sz w:val="18"/>
                <w:szCs w:val="18"/>
              </w:rPr>
              <w:t>Ушул</w:t>
            </w:r>
            <w:proofErr w:type="spellEnd"/>
            <w:r w:rsidRPr="005577F3">
              <w:rPr>
                <w:rFonts w:ascii="Times New Roman" w:hAnsi="Times New Roman"/>
                <w:sz w:val="18"/>
                <w:szCs w:val="18"/>
              </w:rPr>
              <w:t xml:space="preserve"> </w:t>
            </w:r>
            <w:proofErr w:type="spellStart"/>
            <w:r w:rsidRPr="005577F3">
              <w:rPr>
                <w:rFonts w:ascii="Times New Roman" w:hAnsi="Times New Roman"/>
                <w:sz w:val="18"/>
                <w:szCs w:val="18"/>
              </w:rPr>
              <w:t>басылмага</w:t>
            </w:r>
            <w:proofErr w:type="spellEnd"/>
            <w:r w:rsidRPr="005577F3">
              <w:rPr>
                <w:rFonts w:ascii="Times New Roman" w:hAnsi="Times New Roman"/>
                <w:sz w:val="18"/>
                <w:szCs w:val="18"/>
              </w:rPr>
              <w:t xml:space="preserve"> </w:t>
            </w:r>
            <w:proofErr w:type="spellStart"/>
            <w:r w:rsidRPr="005577F3">
              <w:rPr>
                <w:rFonts w:ascii="Times New Roman" w:hAnsi="Times New Roman"/>
                <w:sz w:val="18"/>
                <w:szCs w:val="18"/>
              </w:rPr>
              <w:t>байланыштуу</w:t>
            </w:r>
            <w:proofErr w:type="spellEnd"/>
            <w:r w:rsidRPr="005577F3">
              <w:rPr>
                <w:rFonts w:ascii="Times New Roman" w:hAnsi="Times New Roman"/>
                <w:sz w:val="18"/>
                <w:szCs w:val="18"/>
              </w:rPr>
              <w:t xml:space="preserve"> </w:t>
            </w:r>
            <w:proofErr w:type="spellStart"/>
            <w:r w:rsidRPr="005577F3">
              <w:rPr>
                <w:rFonts w:ascii="Times New Roman" w:hAnsi="Times New Roman"/>
                <w:sz w:val="18"/>
                <w:szCs w:val="18"/>
              </w:rPr>
              <w:t>суроолор</w:t>
            </w:r>
            <w:proofErr w:type="spellEnd"/>
            <w:r w:rsidRPr="005577F3">
              <w:rPr>
                <w:rFonts w:ascii="Times New Roman" w:hAnsi="Times New Roman"/>
                <w:sz w:val="18"/>
                <w:szCs w:val="18"/>
              </w:rPr>
              <w:t xml:space="preserve"> </w:t>
            </w:r>
            <w:r w:rsidRPr="0017013A">
              <w:rPr>
                <w:rFonts w:ascii="Times New Roman" w:hAnsi="Times New Roman"/>
                <w:sz w:val="18"/>
                <w:szCs w:val="18"/>
                <w:lang w:val="ky-KG"/>
              </w:rPr>
              <w:t xml:space="preserve">боюнча төмөнкү дарекке кайрылыныздар: </w:t>
            </w:r>
            <w:r w:rsidRPr="0017013A">
              <w:rPr>
                <w:rFonts w:ascii="Times New Roman" w:hAnsi="Times New Roman"/>
                <w:sz w:val="18"/>
                <w:szCs w:val="18"/>
                <w:lang w:val="ky-KG"/>
              </w:rPr>
              <w:br/>
            </w:r>
            <w:r w:rsidR="00E7700D">
              <w:rPr>
                <w:rFonts w:ascii="Times New Roman" w:hAnsi="Times New Roman"/>
                <w:sz w:val="18"/>
                <w:szCs w:val="18"/>
                <w:lang w:val="ky-KG"/>
              </w:rPr>
              <w:t>Манас</w:t>
            </w:r>
            <w:r w:rsidRPr="0017013A">
              <w:rPr>
                <w:rFonts w:ascii="Times New Roman" w:hAnsi="Times New Roman"/>
                <w:sz w:val="18"/>
                <w:szCs w:val="18"/>
                <w:lang w:val="ky-KG"/>
              </w:rPr>
              <w:t xml:space="preserve"> ш., </w:t>
            </w:r>
            <w:r w:rsidR="00ED6222">
              <w:rPr>
                <w:rFonts w:ascii="Times New Roman" w:hAnsi="Times New Roman"/>
                <w:sz w:val="18"/>
                <w:szCs w:val="18"/>
                <w:lang w:val="ky-KG"/>
              </w:rPr>
              <w:t>Мамыр баатыр</w:t>
            </w:r>
            <w:r w:rsidRPr="0017013A">
              <w:rPr>
                <w:rFonts w:ascii="Times New Roman" w:hAnsi="Times New Roman"/>
                <w:sz w:val="18"/>
                <w:szCs w:val="18"/>
                <w:lang w:val="ky-KG"/>
              </w:rPr>
              <w:t xml:space="preserve"> </w:t>
            </w:r>
            <w:proofErr w:type="gramStart"/>
            <w:r w:rsidRPr="0017013A">
              <w:rPr>
                <w:rFonts w:ascii="Times New Roman" w:hAnsi="Times New Roman"/>
                <w:sz w:val="18"/>
                <w:szCs w:val="18"/>
                <w:lang w:val="ky-KG"/>
              </w:rPr>
              <w:t>көчөсү</w:t>
            </w:r>
            <w:r w:rsidR="00A94982">
              <w:rPr>
                <w:rFonts w:ascii="Times New Roman" w:hAnsi="Times New Roman"/>
                <w:sz w:val="18"/>
                <w:szCs w:val="18"/>
                <w:lang w:val="ky-KG"/>
              </w:rPr>
              <w:t xml:space="preserve">  </w:t>
            </w:r>
            <w:r w:rsidR="00ED6222">
              <w:rPr>
                <w:rFonts w:ascii="Times New Roman" w:hAnsi="Times New Roman"/>
                <w:sz w:val="18"/>
                <w:szCs w:val="18"/>
                <w:lang w:val="ky-KG"/>
              </w:rPr>
              <w:t>58</w:t>
            </w:r>
            <w:proofErr w:type="gramEnd"/>
            <w:r w:rsidRPr="0017013A">
              <w:rPr>
                <w:rFonts w:ascii="Times New Roman" w:hAnsi="Times New Roman"/>
                <w:sz w:val="18"/>
                <w:szCs w:val="18"/>
                <w:lang w:val="ky-KG"/>
              </w:rPr>
              <w:t xml:space="preserve">; </w:t>
            </w:r>
          </w:p>
          <w:p w14:paraId="4EA5FFA6" w14:textId="126593E7" w:rsidR="00ED6222" w:rsidRPr="00380FA8" w:rsidRDefault="00ED6222" w:rsidP="00ED6222">
            <w:pPr>
              <w:pStyle w:val="30"/>
              <w:ind w:firstLine="0"/>
              <w:rPr>
                <w:sz w:val="18"/>
                <w:szCs w:val="18"/>
                <w:lang w:val="ky-KG"/>
              </w:rPr>
            </w:pPr>
            <w:r w:rsidRPr="008E123B">
              <w:rPr>
                <w:sz w:val="18"/>
                <w:szCs w:val="18"/>
              </w:rPr>
              <w:t xml:space="preserve">телефон: </w:t>
            </w:r>
            <w:r w:rsidR="00476CCF">
              <w:rPr>
                <w:sz w:val="18"/>
                <w:szCs w:val="18"/>
                <w:lang w:val="ky-KG"/>
              </w:rPr>
              <w:t>(3722)</w:t>
            </w:r>
            <w:r w:rsidR="00BC3DE8">
              <w:rPr>
                <w:sz w:val="18"/>
                <w:szCs w:val="18"/>
                <w:lang w:val="ky-KG"/>
              </w:rPr>
              <w:t xml:space="preserve"> </w:t>
            </w:r>
            <w:r w:rsidRPr="008E123B">
              <w:rPr>
                <w:sz w:val="18"/>
                <w:szCs w:val="18"/>
              </w:rPr>
              <w:t>5-</w:t>
            </w:r>
            <w:r>
              <w:rPr>
                <w:sz w:val="18"/>
                <w:szCs w:val="18"/>
                <w:lang w:val="ky-KG"/>
              </w:rPr>
              <w:t>01</w:t>
            </w:r>
            <w:r w:rsidRPr="008E123B">
              <w:rPr>
                <w:sz w:val="18"/>
                <w:szCs w:val="18"/>
              </w:rPr>
              <w:t>-</w:t>
            </w:r>
            <w:r>
              <w:rPr>
                <w:sz w:val="18"/>
                <w:szCs w:val="18"/>
                <w:lang w:val="ky-KG"/>
              </w:rPr>
              <w:t>12</w:t>
            </w:r>
            <w:r w:rsidRPr="008E123B">
              <w:rPr>
                <w:sz w:val="18"/>
                <w:szCs w:val="18"/>
                <w:lang w:val="ky-KG"/>
              </w:rPr>
              <w:t xml:space="preserve">, </w:t>
            </w:r>
            <w:r w:rsidR="00A94982">
              <w:rPr>
                <w:sz w:val="18"/>
                <w:szCs w:val="18"/>
                <w:lang w:val="ky-KG"/>
              </w:rPr>
              <w:t>ф</w:t>
            </w:r>
            <w:proofErr w:type="spellStart"/>
            <w:r w:rsidRPr="008E123B">
              <w:rPr>
                <w:sz w:val="18"/>
                <w:szCs w:val="18"/>
              </w:rPr>
              <w:t>акс</w:t>
            </w:r>
            <w:proofErr w:type="spellEnd"/>
            <w:r w:rsidRPr="008E123B">
              <w:rPr>
                <w:sz w:val="18"/>
                <w:szCs w:val="18"/>
              </w:rPr>
              <w:t xml:space="preserve"> </w:t>
            </w:r>
            <w:r w:rsidR="00476CCF">
              <w:rPr>
                <w:sz w:val="18"/>
                <w:szCs w:val="18"/>
                <w:lang w:val="ky-KG"/>
              </w:rPr>
              <w:t>(3722)</w:t>
            </w:r>
            <w:r w:rsidR="00BC3DE8">
              <w:rPr>
                <w:sz w:val="18"/>
                <w:szCs w:val="18"/>
                <w:lang w:val="ky-KG"/>
              </w:rPr>
              <w:t xml:space="preserve"> </w:t>
            </w:r>
            <w:r w:rsidRPr="008E123B">
              <w:rPr>
                <w:sz w:val="18"/>
                <w:szCs w:val="18"/>
              </w:rPr>
              <w:t>5-</w:t>
            </w:r>
            <w:r>
              <w:rPr>
                <w:sz w:val="18"/>
                <w:szCs w:val="18"/>
                <w:lang w:val="ky-KG"/>
              </w:rPr>
              <w:t>15</w:t>
            </w:r>
            <w:r w:rsidRPr="008E123B">
              <w:rPr>
                <w:sz w:val="18"/>
                <w:szCs w:val="18"/>
              </w:rPr>
              <w:t>-</w:t>
            </w:r>
            <w:r>
              <w:rPr>
                <w:sz w:val="18"/>
                <w:szCs w:val="18"/>
                <w:lang w:val="ky-KG"/>
              </w:rPr>
              <w:t>87</w:t>
            </w:r>
          </w:p>
          <w:p w14:paraId="514D59B2" w14:textId="345E708D" w:rsidR="00ED6222" w:rsidRPr="008E123B" w:rsidRDefault="00ED6222" w:rsidP="00ED6222">
            <w:pPr>
              <w:pStyle w:val="30"/>
              <w:ind w:firstLine="0"/>
              <w:rPr>
                <w:sz w:val="18"/>
                <w:szCs w:val="18"/>
              </w:rPr>
            </w:pPr>
            <w:r w:rsidRPr="008E123B">
              <w:rPr>
                <w:sz w:val="18"/>
                <w:szCs w:val="18"/>
                <w:lang w:val="en-US"/>
              </w:rPr>
              <w:t>e</w:t>
            </w:r>
            <w:r w:rsidRPr="008E123B">
              <w:rPr>
                <w:sz w:val="18"/>
                <w:szCs w:val="18"/>
              </w:rPr>
              <w:t>-</w:t>
            </w:r>
            <w:r w:rsidRPr="008E123B">
              <w:rPr>
                <w:sz w:val="18"/>
                <w:szCs w:val="18"/>
                <w:lang w:val="en-US"/>
              </w:rPr>
              <w:t>mail</w:t>
            </w:r>
            <w:r w:rsidRPr="008E123B">
              <w:rPr>
                <w:sz w:val="18"/>
                <w:szCs w:val="18"/>
              </w:rPr>
              <w:t xml:space="preserve">: </w:t>
            </w:r>
            <w:proofErr w:type="spellStart"/>
            <w:r w:rsidR="00BC3DE8">
              <w:rPr>
                <w:sz w:val="18"/>
                <w:szCs w:val="18"/>
                <w:lang w:val="en-US"/>
              </w:rPr>
              <w:t>kabyl</w:t>
            </w:r>
            <w:proofErr w:type="spellEnd"/>
            <w:r w:rsidR="006E08CA">
              <w:rPr>
                <w:sz w:val="18"/>
                <w:szCs w:val="18"/>
                <w:lang w:val="ky-KG"/>
              </w:rPr>
              <w:t>41703</w:t>
            </w:r>
            <w:r w:rsidRPr="00F02F1F">
              <w:rPr>
                <w:sz w:val="18"/>
                <w:szCs w:val="18"/>
              </w:rPr>
              <w:t>@</w:t>
            </w:r>
            <w:r w:rsidRPr="008E123B">
              <w:rPr>
                <w:sz w:val="18"/>
                <w:szCs w:val="18"/>
                <w:lang w:val="en-US"/>
              </w:rPr>
              <w:t>stat</w:t>
            </w:r>
            <w:r w:rsidRPr="008E123B">
              <w:rPr>
                <w:sz w:val="18"/>
                <w:szCs w:val="18"/>
              </w:rPr>
              <w:t>.</w:t>
            </w:r>
            <w:r w:rsidRPr="008E123B">
              <w:rPr>
                <w:sz w:val="18"/>
                <w:szCs w:val="18"/>
                <w:lang w:val="en-US"/>
              </w:rPr>
              <w:t>kg</w:t>
            </w:r>
          </w:p>
          <w:p w14:paraId="1F76EC11" w14:textId="6AF3E1B8" w:rsidR="00ED6222" w:rsidRPr="008E123B" w:rsidRDefault="009A3C91" w:rsidP="00ED6222">
            <w:pPr>
              <w:pStyle w:val="30"/>
              <w:ind w:firstLine="0"/>
              <w:rPr>
                <w:sz w:val="18"/>
                <w:szCs w:val="18"/>
              </w:rPr>
            </w:pPr>
            <w:r>
              <w:rPr>
                <w:sz w:val="18"/>
                <w:szCs w:val="18"/>
              </w:rPr>
              <w:t xml:space="preserve">Манас </w:t>
            </w:r>
            <w:proofErr w:type="spellStart"/>
            <w:proofErr w:type="gramStart"/>
            <w:r>
              <w:rPr>
                <w:sz w:val="18"/>
                <w:szCs w:val="18"/>
              </w:rPr>
              <w:t>шаардык</w:t>
            </w:r>
            <w:proofErr w:type="spellEnd"/>
            <w:r w:rsidR="00ED6222" w:rsidRPr="008E123B">
              <w:rPr>
                <w:sz w:val="18"/>
                <w:szCs w:val="18"/>
              </w:rPr>
              <w:t xml:space="preserve">  статистика</w:t>
            </w:r>
            <w:proofErr w:type="gramEnd"/>
            <w:r w:rsidR="00ED6222" w:rsidRPr="008E123B">
              <w:rPr>
                <w:sz w:val="18"/>
                <w:szCs w:val="18"/>
              </w:rPr>
              <w:t xml:space="preserve"> </w:t>
            </w:r>
            <w:proofErr w:type="spellStart"/>
            <w:r w:rsidR="00ED6222" w:rsidRPr="008E123B">
              <w:rPr>
                <w:sz w:val="18"/>
                <w:szCs w:val="18"/>
              </w:rPr>
              <w:t>башкарма</w:t>
            </w:r>
            <w:proofErr w:type="spellEnd"/>
            <w:r w:rsidR="00ED6222" w:rsidRPr="008E123B">
              <w:rPr>
                <w:sz w:val="18"/>
                <w:szCs w:val="18"/>
                <w:lang w:val="ky-KG"/>
              </w:rPr>
              <w:t>лыгы</w:t>
            </w:r>
          </w:p>
          <w:p w14:paraId="304AF8F5" w14:textId="77777777" w:rsidR="00445855" w:rsidRPr="005577F3" w:rsidRDefault="00445855" w:rsidP="00ED6222">
            <w:pPr>
              <w:pStyle w:val="30"/>
              <w:ind w:firstLine="0"/>
              <w:rPr>
                <w:sz w:val="18"/>
                <w:szCs w:val="18"/>
              </w:rPr>
            </w:pPr>
          </w:p>
        </w:tc>
        <w:tc>
          <w:tcPr>
            <w:tcW w:w="4961" w:type="dxa"/>
          </w:tcPr>
          <w:p w14:paraId="473D8BFF" w14:textId="77777777" w:rsidR="00ED6222" w:rsidRPr="008E123B" w:rsidRDefault="00ED6222" w:rsidP="00ED6222">
            <w:pPr>
              <w:rPr>
                <w:i/>
                <w:sz w:val="18"/>
                <w:szCs w:val="18"/>
              </w:rPr>
            </w:pPr>
            <w:r w:rsidRPr="008E123B">
              <w:rPr>
                <w:i/>
                <w:sz w:val="18"/>
                <w:szCs w:val="18"/>
              </w:rPr>
              <w:t>Для информации, связанной с этой публикацией, обращайтесь:</w:t>
            </w:r>
          </w:p>
          <w:p w14:paraId="1F3089EF" w14:textId="74DEDDEB" w:rsidR="00ED6222" w:rsidRPr="006E08CA" w:rsidRDefault="00ED6222" w:rsidP="00ED6222">
            <w:pPr>
              <w:rPr>
                <w:i/>
                <w:sz w:val="18"/>
                <w:szCs w:val="18"/>
              </w:rPr>
            </w:pPr>
            <w:r w:rsidRPr="008E123B">
              <w:rPr>
                <w:i/>
                <w:sz w:val="18"/>
                <w:szCs w:val="18"/>
              </w:rPr>
              <w:t>по адресу: г.</w:t>
            </w:r>
            <w:r w:rsidR="00A94982">
              <w:rPr>
                <w:i/>
                <w:sz w:val="18"/>
                <w:szCs w:val="18"/>
                <w:lang w:val="ky-KG"/>
              </w:rPr>
              <w:t xml:space="preserve"> </w:t>
            </w:r>
            <w:r w:rsidR="00E7700D">
              <w:rPr>
                <w:i/>
                <w:sz w:val="18"/>
                <w:szCs w:val="18"/>
                <w:lang w:val="ky-KG"/>
              </w:rPr>
              <w:t>Манас</w:t>
            </w:r>
            <w:r w:rsidRPr="008E123B">
              <w:rPr>
                <w:i/>
                <w:sz w:val="18"/>
                <w:szCs w:val="18"/>
              </w:rPr>
              <w:t xml:space="preserve"> ул.</w:t>
            </w:r>
            <w:r w:rsidR="00A94982">
              <w:rPr>
                <w:i/>
                <w:sz w:val="18"/>
                <w:szCs w:val="18"/>
                <w:lang w:val="ky-KG"/>
              </w:rPr>
              <w:t xml:space="preserve"> </w:t>
            </w:r>
            <w:r>
              <w:rPr>
                <w:i/>
                <w:sz w:val="18"/>
                <w:szCs w:val="18"/>
                <w:lang w:val="ky-KG"/>
              </w:rPr>
              <w:t>Мамыр баатыра 58</w:t>
            </w:r>
            <w:r w:rsidR="00BC3DE8">
              <w:rPr>
                <w:i/>
                <w:sz w:val="18"/>
                <w:szCs w:val="18"/>
                <w:lang w:val="ky-KG"/>
              </w:rPr>
              <w:t>;</w:t>
            </w:r>
          </w:p>
          <w:p w14:paraId="24285690" w14:textId="7D5618BE" w:rsidR="00ED6222" w:rsidRPr="008E123B" w:rsidRDefault="00ED6222" w:rsidP="00ED6222">
            <w:pPr>
              <w:rPr>
                <w:i/>
                <w:sz w:val="18"/>
                <w:szCs w:val="18"/>
              </w:rPr>
            </w:pPr>
            <w:r w:rsidRPr="008E123B">
              <w:rPr>
                <w:i/>
                <w:sz w:val="18"/>
                <w:szCs w:val="18"/>
              </w:rPr>
              <w:t>телефон: (3</w:t>
            </w:r>
            <w:r>
              <w:rPr>
                <w:i/>
                <w:sz w:val="18"/>
                <w:szCs w:val="18"/>
                <w:lang w:val="ky-KG"/>
              </w:rPr>
              <w:t>7</w:t>
            </w:r>
            <w:r w:rsidRPr="008E123B">
              <w:rPr>
                <w:i/>
                <w:sz w:val="18"/>
                <w:szCs w:val="18"/>
              </w:rPr>
              <w:t>22) 5-</w:t>
            </w:r>
            <w:r>
              <w:rPr>
                <w:i/>
                <w:sz w:val="18"/>
                <w:szCs w:val="18"/>
                <w:lang w:val="ky-KG"/>
              </w:rPr>
              <w:t>01</w:t>
            </w:r>
            <w:r w:rsidRPr="008E123B">
              <w:rPr>
                <w:i/>
                <w:sz w:val="18"/>
                <w:szCs w:val="18"/>
              </w:rPr>
              <w:t>-</w:t>
            </w:r>
            <w:r>
              <w:rPr>
                <w:i/>
                <w:sz w:val="18"/>
                <w:szCs w:val="18"/>
                <w:lang w:val="ky-KG"/>
              </w:rPr>
              <w:t>12</w:t>
            </w:r>
            <w:r w:rsidRPr="008E123B">
              <w:rPr>
                <w:i/>
                <w:sz w:val="18"/>
                <w:szCs w:val="18"/>
              </w:rPr>
              <w:t xml:space="preserve"> факс: (</w:t>
            </w:r>
            <w:r>
              <w:rPr>
                <w:i/>
                <w:sz w:val="18"/>
                <w:szCs w:val="18"/>
                <w:lang w:val="ky-KG"/>
              </w:rPr>
              <w:t>37</w:t>
            </w:r>
            <w:r w:rsidRPr="008E123B">
              <w:rPr>
                <w:i/>
                <w:sz w:val="18"/>
                <w:szCs w:val="18"/>
              </w:rPr>
              <w:t>22) 5-</w:t>
            </w:r>
            <w:r>
              <w:rPr>
                <w:i/>
                <w:sz w:val="18"/>
                <w:szCs w:val="18"/>
                <w:lang w:val="ky-KG"/>
              </w:rPr>
              <w:t>15</w:t>
            </w:r>
            <w:r w:rsidRPr="008E123B">
              <w:rPr>
                <w:i/>
                <w:sz w:val="18"/>
                <w:szCs w:val="18"/>
              </w:rPr>
              <w:t>-</w:t>
            </w:r>
            <w:r>
              <w:rPr>
                <w:i/>
                <w:sz w:val="18"/>
                <w:szCs w:val="18"/>
                <w:lang w:val="ky-KG"/>
              </w:rPr>
              <w:t>87</w:t>
            </w:r>
            <w:r w:rsidRPr="008E123B">
              <w:rPr>
                <w:i/>
                <w:sz w:val="18"/>
                <w:szCs w:val="18"/>
              </w:rPr>
              <w:br/>
            </w:r>
            <w:proofErr w:type="spellStart"/>
            <w:r w:rsidRPr="008E123B">
              <w:rPr>
                <w:i/>
                <w:sz w:val="18"/>
                <w:szCs w:val="18"/>
              </w:rPr>
              <w:t>e-mail</w:t>
            </w:r>
            <w:proofErr w:type="spellEnd"/>
            <w:r w:rsidRPr="008E123B">
              <w:rPr>
                <w:i/>
                <w:sz w:val="18"/>
                <w:szCs w:val="18"/>
              </w:rPr>
              <w:t xml:space="preserve">: </w:t>
            </w:r>
            <w:proofErr w:type="spellStart"/>
            <w:r w:rsidR="00BC3DE8">
              <w:rPr>
                <w:i/>
                <w:sz w:val="18"/>
                <w:szCs w:val="18"/>
              </w:rPr>
              <w:t>kabyl</w:t>
            </w:r>
            <w:proofErr w:type="spellEnd"/>
            <w:r w:rsidR="006E08CA">
              <w:rPr>
                <w:i/>
                <w:sz w:val="18"/>
                <w:szCs w:val="18"/>
                <w:lang w:val="ky-KG"/>
              </w:rPr>
              <w:t>41703</w:t>
            </w:r>
            <w:r w:rsidRPr="008E123B">
              <w:rPr>
                <w:i/>
                <w:sz w:val="18"/>
                <w:szCs w:val="18"/>
              </w:rPr>
              <w:t>@stat.kg</w:t>
            </w:r>
          </w:p>
          <w:p w14:paraId="3A8DA9C1" w14:textId="6ADC86B2" w:rsidR="00ED6222" w:rsidRPr="008E123B" w:rsidRDefault="00E7700D" w:rsidP="00ED6222">
            <w:pPr>
              <w:rPr>
                <w:i/>
                <w:sz w:val="18"/>
                <w:szCs w:val="18"/>
              </w:rPr>
            </w:pPr>
            <w:proofErr w:type="spellStart"/>
            <w:r>
              <w:rPr>
                <w:i/>
                <w:sz w:val="18"/>
                <w:szCs w:val="18"/>
              </w:rPr>
              <w:t>Манасское</w:t>
            </w:r>
            <w:proofErr w:type="spellEnd"/>
            <w:r>
              <w:rPr>
                <w:i/>
                <w:sz w:val="18"/>
                <w:szCs w:val="18"/>
              </w:rPr>
              <w:t xml:space="preserve"> городское</w:t>
            </w:r>
            <w:r w:rsidR="00ED6222" w:rsidRPr="008E123B">
              <w:rPr>
                <w:i/>
                <w:sz w:val="18"/>
                <w:szCs w:val="18"/>
              </w:rPr>
              <w:t xml:space="preserve"> </w:t>
            </w:r>
            <w:proofErr w:type="gramStart"/>
            <w:r w:rsidR="00ED6222" w:rsidRPr="008E123B">
              <w:rPr>
                <w:i/>
                <w:sz w:val="18"/>
                <w:szCs w:val="18"/>
              </w:rPr>
              <w:t>управление  статистики</w:t>
            </w:r>
            <w:proofErr w:type="gramEnd"/>
          </w:p>
          <w:p w14:paraId="67B629FA" w14:textId="77777777" w:rsidR="00445855" w:rsidRPr="005577F3" w:rsidRDefault="00445855" w:rsidP="00ED6222">
            <w:pPr>
              <w:rPr>
                <w:sz w:val="18"/>
                <w:szCs w:val="18"/>
              </w:rPr>
            </w:pPr>
          </w:p>
        </w:tc>
      </w:tr>
    </w:tbl>
    <w:p w14:paraId="780B09DF" w14:textId="77777777" w:rsidR="00445855" w:rsidRPr="002D1CD6" w:rsidRDefault="00445855" w:rsidP="00445855">
      <w:pPr>
        <w:pStyle w:val="30"/>
        <w:ind w:left="1440" w:hanging="22"/>
        <w:rPr>
          <w:sz w:val="18"/>
        </w:rPr>
      </w:pPr>
    </w:p>
    <w:tbl>
      <w:tblPr>
        <w:tblW w:w="0" w:type="auto"/>
        <w:tblInd w:w="250" w:type="dxa"/>
        <w:tblLook w:val="04A0" w:firstRow="1" w:lastRow="0" w:firstColumn="1" w:lastColumn="0" w:noHBand="0" w:noVBand="1"/>
      </w:tblPr>
      <w:tblGrid>
        <w:gridCol w:w="4628"/>
        <w:gridCol w:w="4760"/>
      </w:tblGrid>
      <w:tr w:rsidR="00445855" w:rsidRPr="005577F3" w14:paraId="213662FC" w14:textId="77777777" w:rsidTr="00445855">
        <w:tc>
          <w:tcPr>
            <w:tcW w:w="4677" w:type="dxa"/>
          </w:tcPr>
          <w:p w14:paraId="5A869FBA" w14:textId="0EB9DA1E" w:rsidR="00445855" w:rsidRPr="005577F3" w:rsidRDefault="007C2C8A" w:rsidP="00DC123A">
            <w:pPr>
              <w:jc w:val="both"/>
              <w:rPr>
                <w:sz w:val="18"/>
                <w:szCs w:val="18"/>
              </w:rPr>
            </w:pPr>
            <w:proofErr w:type="spellStart"/>
            <w:r>
              <w:rPr>
                <w:sz w:val="18"/>
                <w:szCs w:val="18"/>
              </w:rPr>
              <w:t>Сунуш</w:t>
            </w:r>
            <w:proofErr w:type="spellEnd"/>
            <w:r>
              <w:rPr>
                <w:sz w:val="18"/>
                <w:szCs w:val="18"/>
              </w:rPr>
              <w:t xml:space="preserve"> </w:t>
            </w:r>
            <w:proofErr w:type="spellStart"/>
            <w:r>
              <w:rPr>
                <w:sz w:val="18"/>
                <w:szCs w:val="18"/>
              </w:rPr>
              <w:t>кылынган</w:t>
            </w:r>
            <w:proofErr w:type="spellEnd"/>
            <w:r>
              <w:rPr>
                <w:sz w:val="18"/>
                <w:szCs w:val="18"/>
              </w:rPr>
              <w:t xml:space="preserve"> </w:t>
            </w:r>
            <w:proofErr w:type="spellStart"/>
            <w:r>
              <w:rPr>
                <w:sz w:val="18"/>
                <w:szCs w:val="18"/>
              </w:rPr>
              <w:t>басылмада</w:t>
            </w:r>
            <w:proofErr w:type="spellEnd"/>
            <w:r>
              <w:rPr>
                <w:sz w:val="18"/>
                <w:szCs w:val="18"/>
              </w:rPr>
              <w:t xml:space="preserve"> </w:t>
            </w:r>
            <w:proofErr w:type="spellStart"/>
            <w:r>
              <w:rPr>
                <w:sz w:val="18"/>
                <w:szCs w:val="18"/>
              </w:rPr>
              <w:t>облусубуздун</w:t>
            </w:r>
            <w:proofErr w:type="spellEnd"/>
            <w:r>
              <w:rPr>
                <w:sz w:val="18"/>
                <w:szCs w:val="18"/>
              </w:rPr>
              <w:t xml:space="preserve"> </w:t>
            </w:r>
            <w:proofErr w:type="spellStart"/>
            <w:r>
              <w:rPr>
                <w:sz w:val="18"/>
                <w:szCs w:val="18"/>
              </w:rPr>
              <w:t>социалдык</w:t>
            </w:r>
            <w:proofErr w:type="spellEnd"/>
            <w:r>
              <w:rPr>
                <w:sz w:val="18"/>
                <w:szCs w:val="18"/>
              </w:rPr>
              <w:t xml:space="preserve"> </w:t>
            </w:r>
            <w:proofErr w:type="spellStart"/>
            <w:r>
              <w:rPr>
                <w:sz w:val="18"/>
                <w:szCs w:val="18"/>
              </w:rPr>
              <w:t>экономикалык</w:t>
            </w:r>
            <w:proofErr w:type="spellEnd"/>
            <w:r>
              <w:rPr>
                <w:sz w:val="18"/>
                <w:szCs w:val="18"/>
              </w:rPr>
              <w:t xml:space="preserve"> </w:t>
            </w:r>
            <w:proofErr w:type="spellStart"/>
            <w:r>
              <w:rPr>
                <w:sz w:val="18"/>
                <w:szCs w:val="18"/>
              </w:rPr>
              <w:t>абалы</w:t>
            </w:r>
            <w:proofErr w:type="spellEnd"/>
            <w:r>
              <w:rPr>
                <w:sz w:val="18"/>
                <w:szCs w:val="18"/>
              </w:rPr>
              <w:t xml:space="preserve"> </w:t>
            </w:r>
            <w:proofErr w:type="spellStart"/>
            <w:r>
              <w:rPr>
                <w:sz w:val="18"/>
                <w:szCs w:val="18"/>
              </w:rPr>
              <w:t>мурунку</w:t>
            </w:r>
            <w:proofErr w:type="spellEnd"/>
            <w:r>
              <w:rPr>
                <w:sz w:val="18"/>
                <w:szCs w:val="18"/>
              </w:rPr>
              <w:t xml:space="preserve"> </w:t>
            </w:r>
            <w:proofErr w:type="spellStart"/>
            <w:r>
              <w:rPr>
                <w:sz w:val="18"/>
                <w:szCs w:val="18"/>
              </w:rPr>
              <w:t>жылдарга</w:t>
            </w:r>
            <w:proofErr w:type="spellEnd"/>
            <w:r>
              <w:rPr>
                <w:sz w:val="18"/>
                <w:szCs w:val="18"/>
              </w:rPr>
              <w:t xml:space="preserve"> карата </w:t>
            </w:r>
            <w:proofErr w:type="spellStart"/>
            <w:r>
              <w:rPr>
                <w:sz w:val="18"/>
                <w:szCs w:val="18"/>
              </w:rPr>
              <w:t>салыштырмалуу</w:t>
            </w:r>
            <w:proofErr w:type="spellEnd"/>
            <w:r>
              <w:rPr>
                <w:sz w:val="18"/>
                <w:szCs w:val="18"/>
              </w:rPr>
              <w:t xml:space="preserve"> </w:t>
            </w:r>
            <w:proofErr w:type="spellStart"/>
            <w:r>
              <w:rPr>
                <w:sz w:val="18"/>
                <w:szCs w:val="18"/>
              </w:rPr>
              <w:t>чагылдырылган</w:t>
            </w:r>
            <w:proofErr w:type="spellEnd"/>
            <w:r>
              <w:rPr>
                <w:sz w:val="18"/>
                <w:szCs w:val="18"/>
              </w:rPr>
              <w:t>. 20</w:t>
            </w:r>
            <w:r w:rsidR="00587119">
              <w:rPr>
                <w:sz w:val="18"/>
                <w:szCs w:val="18"/>
              </w:rPr>
              <w:t>20</w:t>
            </w:r>
            <w:r>
              <w:rPr>
                <w:sz w:val="18"/>
                <w:szCs w:val="18"/>
              </w:rPr>
              <w:t>-20</w:t>
            </w:r>
            <w:r w:rsidR="004F1290" w:rsidRPr="004F1290">
              <w:rPr>
                <w:sz w:val="18"/>
                <w:szCs w:val="18"/>
              </w:rPr>
              <w:t>2</w:t>
            </w:r>
            <w:r w:rsidR="00587119">
              <w:rPr>
                <w:sz w:val="18"/>
                <w:szCs w:val="18"/>
              </w:rPr>
              <w:t>4</w:t>
            </w:r>
            <w:r>
              <w:rPr>
                <w:sz w:val="18"/>
                <w:szCs w:val="18"/>
              </w:rPr>
              <w:t xml:space="preserve">-жылдардагы </w:t>
            </w:r>
            <w:proofErr w:type="spellStart"/>
            <w:r>
              <w:rPr>
                <w:sz w:val="18"/>
                <w:szCs w:val="18"/>
              </w:rPr>
              <w:t>маалымат</w:t>
            </w:r>
            <w:proofErr w:type="spellEnd"/>
            <w:r>
              <w:rPr>
                <w:sz w:val="18"/>
                <w:szCs w:val="18"/>
              </w:rPr>
              <w:t xml:space="preserve"> </w:t>
            </w:r>
            <w:proofErr w:type="spellStart"/>
            <w:r>
              <w:rPr>
                <w:sz w:val="18"/>
                <w:szCs w:val="18"/>
              </w:rPr>
              <w:t>мурун</w:t>
            </w:r>
            <w:proofErr w:type="spellEnd"/>
            <w:r>
              <w:rPr>
                <w:sz w:val="18"/>
                <w:szCs w:val="18"/>
              </w:rPr>
              <w:t xml:space="preserve"> </w:t>
            </w:r>
            <w:proofErr w:type="spellStart"/>
            <w:r>
              <w:rPr>
                <w:sz w:val="18"/>
                <w:szCs w:val="18"/>
              </w:rPr>
              <w:t>такталып</w:t>
            </w:r>
            <w:proofErr w:type="spellEnd"/>
            <w:r>
              <w:rPr>
                <w:sz w:val="18"/>
                <w:szCs w:val="18"/>
              </w:rPr>
              <w:t xml:space="preserve"> </w:t>
            </w:r>
            <w:proofErr w:type="spellStart"/>
            <w:r>
              <w:rPr>
                <w:sz w:val="18"/>
                <w:szCs w:val="18"/>
              </w:rPr>
              <w:t>жарыяланган</w:t>
            </w:r>
            <w:proofErr w:type="spellEnd"/>
            <w:r w:rsidR="0017013A">
              <w:rPr>
                <w:sz w:val="18"/>
                <w:szCs w:val="18"/>
                <w:lang w:val="ky-KG"/>
              </w:rPr>
              <w:t>,</w:t>
            </w:r>
            <w:r>
              <w:rPr>
                <w:sz w:val="18"/>
                <w:szCs w:val="18"/>
              </w:rPr>
              <w:t xml:space="preserve"> ал </w:t>
            </w:r>
            <w:proofErr w:type="spellStart"/>
            <w:r>
              <w:rPr>
                <w:sz w:val="18"/>
                <w:szCs w:val="18"/>
              </w:rPr>
              <w:t>эми</w:t>
            </w:r>
            <w:proofErr w:type="spellEnd"/>
            <w:r>
              <w:rPr>
                <w:sz w:val="18"/>
                <w:szCs w:val="18"/>
              </w:rPr>
              <w:t xml:space="preserve"> 20</w:t>
            </w:r>
            <w:r w:rsidR="00225632" w:rsidRPr="00225632">
              <w:rPr>
                <w:sz w:val="18"/>
                <w:szCs w:val="18"/>
              </w:rPr>
              <w:t>2</w:t>
            </w:r>
            <w:r w:rsidR="00C420B5">
              <w:rPr>
                <w:sz w:val="18"/>
                <w:szCs w:val="18"/>
              </w:rPr>
              <w:t>4</w:t>
            </w:r>
            <w:r>
              <w:rPr>
                <w:sz w:val="18"/>
                <w:szCs w:val="18"/>
              </w:rPr>
              <w:t xml:space="preserve">-жылдагы </w:t>
            </w:r>
            <w:proofErr w:type="spellStart"/>
            <w:r>
              <w:rPr>
                <w:sz w:val="18"/>
                <w:szCs w:val="18"/>
              </w:rPr>
              <w:t>маалыматтардын</w:t>
            </w:r>
            <w:proofErr w:type="spellEnd"/>
            <w:r>
              <w:rPr>
                <w:sz w:val="18"/>
                <w:szCs w:val="18"/>
              </w:rPr>
              <w:t xml:space="preserve"> </w:t>
            </w:r>
            <w:proofErr w:type="spellStart"/>
            <w:r>
              <w:rPr>
                <w:sz w:val="18"/>
                <w:szCs w:val="18"/>
              </w:rPr>
              <w:t>кээ</w:t>
            </w:r>
            <w:proofErr w:type="spellEnd"/>
            <w:r>
              <w:rPr>
                <w:sz w:val="18"/>
                <w:szCs w:val="18"/>
              </w:rPr>
              <w:t xml:space="preserve"> </w:t>
            </w:r>
            <w:proofErr w:type="spellStart"/>
            <w:r>
              <w:rPr>
                <w:sz w:val="18"/>
                <w:szCs w:val="18"/>
              </w:rPr>
              <w:t>бирлери</w:t>
            </w:r>
            <w:proofErr w:type="spellEnd"/>
            <w:r>
              <w:rPr>
                <w:sz w:val="18"/>
                <w:szCs w:val="18"/>
              </w:rPr>
              <w:t xml:space="preserve"> </w:t>
            </w:r>
            <w:proofErr w:type="spellStart"/>
            <w:r>
              <w:rPr>
                <w:sz w:val="18"/>
                <w:szCs w:val="18"/>
              </w:rPr>
              <w:t>алдын</w:t>
            </w:r>
            <w:proofErr w:type="spellEnd"/>
            <w:r>
              <w:rPr>
                <w:sz w:val="18"/>
                <w:szCs w:val="18"/>
              </w:rPr>
              <w:t xml:space="preserve"> ала </w:t>
            </w:r>
            <w:proofErr w:type="spellStart"/>
            <w:r>
              <w:rPr>
                <w:sz w:val="18"/>
                <w:szCs w:val="18"/>
              </w:rPr>
              <w:t>маалымат</w:t>
            </w:r>
            <w:proofErr w:type="spellEnd"/>
            <w:r>
              <w:rPr>
                <w:sz w:val="18"/>
                <w:szCs w:val="18"/>
              </w:rPr>
              <w:t xml:space="preserve"> </w:t>
            </w:r>
            <w:proofErr w:type="spellStart"/>
            <w:r>
              <w:rPr>
                <w:sz w:val="18"/>
                <w:szCs w:val="18"/>
              </w:rPr>
              <w:t>болуп</w:t>
            </w:r>
            <w:proofErr w:type="spellEnd"/>
            <w:r>
              <w:rPr>
                <w:sz w:val="18"/>
                <w:szCs w:val="18"/>
              </w:rPr>
              <w:t xml:space="preserve"> </w:t>
            </w:r>
            <w:proofErr w:type="spellStart"/>
            <w:r>
              <w:rPr>
                <w:sz w:val="18"/>
                <w:szCs w:val="18"/>
              </w:rPr>
              <w:t>эсептелет</w:t>
            </w:r>
            <w:proofErr w:type="spellEnd"/>
            <w:r>
              <w:rPr>
                <w:sz w:val="18"/>
                <w:szCs w:val="18"/>
              </w:rPr>
              <w:t>.</w:t>
            </w:r>
          </w:p>
        </w:tc>
        <w:tc>
          <w:tcPr>
            <w:tcW w:w="4820" w:type="dxa"/>
          </w:tcPr>
          <w:p w14:paraId="79AA9C2D" w14:textId="712C1810" w:rsidR="00445855" w:rsidRPr="005577F3" w:rsidRDefault="005577F3" w:rsidP="00DC123A">
            <w:pPr>
              <w:jc w:val="both"/>
              <w:rPr>
                <w:sz w:val="18"/>
                <w:szCs w:val="18"/>
              </w:rPr>
            </w:pPr>
            <w:r w:rsidRPr="005577F3">
              <w:rPr>
                <w:i/>
                <w:sz w:val="18"/>
                <w:szCs w:val="18"/>
              </w:rPr>
              <w:t>В предлагаемой публикации содержится информация, характеризующая социально-экономическое положение области в сравнении с предыдущими годами. По всем показателям данные за 20</w:t>
            </w:r>
            <w:r w:rsidR="00587119">
              <w:rPr>
                <w:i/>
                <w:sz w:val="18"/>
                <w:szCs w:val="18"/>
              </w:rPr>
              <w:t>20</w:t>
            </w:r>
            <w:r w:rsidRPr="005577F3">
              <w:rPr>
                <w:i/>
                <w:sz w:val="18"/>
                <w:szCs w:val="18"/>
              </w:rPr>
              <w:t>-20</w:t>
            </w:r>
            <w:r w:rsidR="004F1290" w:rsidRPr="004F1290">
              <w:rPr>
                <w:i/>
                <w:sz w:val="18"/>
                <w:szCs w:val="18"/>
              </w:rPr>
              <w:t>2</w:t>
            </w:r>
            <w:r w:rsidR="00587119">
              <w:rPr>
                <w:i/>
                <w:sz w:val="18"/>
                <w:szCs w:val="18"/>
              </w:rPr>
              <w:t>4</w:t>
            </w:r>
            <w:r w:rsidRPr="005577F3">
              <w:rPr>
                <w:i/>
                <w:sz w:val="18"/>
                <w:szCs w:val="18"/>
              </w:rPr>
              <w:t>гг. уточнены по сравнению с опубликованными ранее, за 20</w:t>
            </w:r>
            <w:r w:rsidR="007A1F6E">
              <w:rPr>
                <w:i/>
                <w:sz w:val="18"/>
                <w:szCs w:val="18"/>
                <w:lang w:val="ky-KG"/>
              </w:rPr>
              <w:t>2</w:t>
            </w:r>
            <w:r w:rsidR="00BC3DE8">
              <w:rPr>
                <w:i/>
                <w:sz w:val="18"/>
                <w:szCs w:val="18"/>
                <w:lang w:val="ky-KG"/>
              </w:rPr>
              <w:t>4</w:t>
            </w:r>
            <w:r w:rsidRPr="005577F3">
              <w:rPr>
                <w:i/>
                <w:sz w:val="18"/>
                <w:szCs w:val="18"/>
              </w:rPr>
              <w:t>г. в отдельных случаях являются предварительными.</w:t>
            </w:r>
          </w:p>
        </w:tc>
      </w:tr>
      <w:tr w:rsidR="00445855" w:rsidRPr="002D1CD6" w14:paraId="7D23A7A7" w14:textId="77777777" w:rsidTr="00445855">
        <w:tc>
          <w:tcPr>
            <w:tcW w:w="4677" w:type="dxa"/>
          </w:tcPr>
          <w:p w14:paraId="3E80221B" w14:textId="77777777" w:rsidR="00445855" w:rsidRPr="002D1CD6" w:rsidRDefault="00387F77" w:rsidP="00476CCF">
            <w:pPr>
              <w:jc w:val="both"/>
              <w:rPr>
                <w:sz w:val="18"/>
                <w:szCs w:val="18"/>
              </w:rPr>
            </w:pPr>
            <w:r>
              <w:rPr>
                <w:sz w:val="18"/>
                <w:szCs w:val="18"/>
                <w:lang w:val="ky-KG"/>
              </w:rPr>
              <w:t>Жылына бир жолу чыгарылат,</w:t>
            </w:r>
            <w:r w:rsidR="00A94982">
              <w:rPr>
                <w:sz w:val="18"/>
                <w:szCs w:val="18"/>
                <w:lang w:val="ky-KG"/>
              </w:rPr>
              <w:t xml:space="preserve"> </w:t>
            </w:r>
            <w:proofErr w:type="spellStart"/>
            <w:r w:rsidR="00445855" w:rsidRPr="002D1CD6">
              <w:rPr>
                <w:sz w:val="18"/>
                <w:szCs w:val="18"/>
              </w:rPr>
              <w:t>Тиражы</w:t>
            </w:r>
            <w:proofErr w:type="spellEnd"/>
            <w:r w:rsidR="00445855" w:rsidRPr="002D1CD6">
              <w:rPr>
                <w:sz w:val="18"/>
                <w:szCs w:val="18"/>
              </w:rPr>
              <w:t xml:space="preserve">: </w:t>
            </w:r>
            <w:r w:rsidR="00476CCF">
              <w:rPr>
                <w:sz w:val="18"/>
                <w:szCs w:val="18"/>
                <w:lang w:val="ky-KG"/>
              </w:rPr>
              <w:t>5</w:t>
            </w:r>
            <w:r w:rsidR="00445855" w:rsidRPr="002D1CD6">
              <w:rPr>
                <w:sz w:val="18"/>
                <w:szCs w:val="18"/>
              </w:rPr>
              <w:t xml:space="preserve"> </w:t>
            </w:r>
            <w:proofErr w:type="spellStart"/>
            <w:r w:rsidR="00445855" w:rsidRPr="002D1CD6">
              <w:rPr>
                <w:sz w:val="18"/>
                <w:szCs w:val="18"/>
              </w:rPr>
              <w:t>нуска</w:t>
            </w:r>
            <w:proofErr w:type="spellEnd"/>
            <w:r w:rsidR="00445855" w:rsidRPr="002D1CD6">
              <w:rPr>
                <w:sz w:val="18"/>
                <w:szCs w:val="18"/>
              </w:rPr>
              <w:t>.</w:t>
            </w:r>
          </w:p>
        </w:tc>
        <w:tc>
          <w:tcPr>
            <w:tcW w:w="4820" w:type="dxa"/>
          </w:tcPr>
          <w:p w14:paraId="54A9475D" w14:textId="77777777" w:rsidR="00445855" w:rsidRPr="005577F3" w:rsidRDefault="005577F3" w:rsidP="00476CCF">
            <w:pPr>
              <w:ind w:left="35" w:firstLine="283"/>
              <w:rPr>
                <w:sz w:val="18"/>
                <w:szCs w:val="18"/>
              </w:rPr>
            </w:pPr>
            <w:proofErr w:type="gramStart"/>
            <w:r w:rsidRPr="005577F3">
              <w:rPr>
                <w:rFonts w:ascii="Times New Roman UniToktom" w:hAnsi="Times New Roman UniToktom" w:cs="Times New Roman UniToktom"/>
                <w:i/>
                <w:sz w:val="18"/>
                <w:szCs w:val="18"/>
              </w:rPr>
              <w:t>Издается  1</w:t>
            </w:r>
            <w:proofErr w:type="gramEnd"/>
            <w:r w:rsidRPr="005577F3">
              <w:rPr>
                <w:rFonts w:ascii="Times New Roman UniToktom" w:hAnsi="Times New Roman UniToktom" w:cs="Times New Roman UniToktom"/>
                <w:i/>
                <w:sz w:val="18"/>
                <w:szCs w:val="18"/>
              </w:rPr>
              <w:t xml:space="preserve"> раз в год. Тираж: </w:t>
            </w:r>
            <w:r w:rsidRPr="005577F3">
              <w:rPr>
                <w:rFonts w:ascii="Times New Roman UniToktom" w:hAnsi="Times New Roman UniToktom" w:cs="Times New Roman UniToktom"/>
                <w:i/>
                <w:sz w:val="18"/>
                <w:szCs w:val="18"/>
                <w:lang w:val="ky-KG"/>
              </w:rPr>
              <w:t>5</w:t>
            </w:r>
            <w:r w:rsidRPr="005577F3">
              <w:rPr>
                <w:rFonts w:ascii="Times New Roman UniToktom" w:hAnsi="Times New Roman UniToktom" w:cs="Times New Roman UniToktom"/>
                <w:i/>
                <w:sz w:val="18"/>
                <w:szCs w:val="18"/>
              </w:rPr>
              <w:t xml:space="preserve"> экземпляров. </w:t>
            </w:r>
          </w:p>
        </w:tc>
      </w:tr>
      <w:tr w:rsidR="00445855" w:rsidRPr="002D1CD6" w14:paraId="5993B63A" w14:textId="77777777" w:rsidTr="00445855">
        <w:tc>
          <w:tcPr>
            <w:tcW w:w="4677" w:type="dxa"/>
          </w:tcPr>
          <w:p w14:paraId="5BE3AEF2" w14:textId="77777777" w:rsidR="00445855" w:rsidRPr="005577F3" w:rsidRDefault="00A37830" w:rsidP="00A37830">
            <w:pPr>
              <w:pStyle w:val="af2"/>
              <w:ind w:firstLine="743"/>
              <w:rPr>
                <w:sz w:val="18"/>
                <w:szCs w:val="18"/>
              </w:rPr>
            </w:pPr>
            <w:proofErr w:type="spellStart"/>
            <w:r>
              <w:rPr>
                <w:rFonts w:ascii="Times New Roman UniToktom" w:hAnsi="Times New Roman UniToktom" w:cs="Times New Roman UniToktom"/>
                <w:sz w:val="18"/>
                <w:szCs w:val="18"/>
              </w:rPr>
              <w:t>Басылма</w:t>
            </w:r>
            <w:proofErr w:type="spellEnd"/>
            <w:r>
              <w:rPr>
                <w:rFonts w:ascii="Times New Roman UniToktom" w:hAnsi="Times New Roman UniToktom" w:cs="Times New Roman UniToktom"/>
                <w:sz w:val="18"/>
                <w:szCs w:val="18"/>
              </w:rPr>
              <w:t xml:space="preserve"> ар </w:t>
            </w:r>
            <w:proofErr w:type="spellStart"/>
            <w:proofErr w:type="gramStart"/>
            <w:r>
              <w:rPr>
                <w:rFonts w:ascii="Times New Roman UniToktom" w:hAnsi="Times New Roman UniToktom" w:cs="Times New Roman UniToktom"/>
                <w:sz w:val="18"/>
                <w:szCs w:val="18"/>
              </w:rPr>
              <w:t>тармактагы</w:t>
            </w:r>
            <w:proofErr w:type="spellEnd"/>
            <w:r>
              <w:rPr>
                <w:rFonts w:ascii="Times New Roman UniToktom" w:hAnsi="Times New Roman UniToktom" w:cs="Times New Roman UniToktom"/>
                <w:sz w:val="18"/>
                <w:szCs w:val="18"/>
              </w:rPr>
              <w:t xml:space="preserve">  </w:t>
            </w:r>
            <w:proofErr w:type="spellStart"/>
            <w:r>
              <w:rPr>
                <w:rFonts w:ascii="Times New Roman UniToktom" w:hAnsi="Times New Roman UniToktom" w:cs="Times New Roman UniToktom"/>
                <w:sz w:val="18"/>
                <w:szCs w:val="18"/>
              </w:rPr>
              <w:t>колдонуучуларга</w:t>
            </w:r>
            <w:proofErr w:type="spellEnd"/>
            <w:proofErr w:type="gramEnd"/>
            <w:r>
              <w:rPr>
                <w:rFonts w:ascii="Times New Roman UniToktom" w:hAnsi="Times New Roman UniToktom" w:cs="Times New Roman UniToktom"/>
                <w:sz w:val="18"/>
                <w:szCs w:val="18"/>
              </w:rPr>
              <w:t xml:space="preserve"> </w:t>
            </w:r>
            <w:proofErr w:type="spellStart"/>
            <w:r>
              <w:rPr>
                <w:rFonts w:ascii="Times New Roman UniToktom" w:hAnsi="Times New Roman UniToktom" w:cs="Times New Roman UniToktom"/>
                <w:sz w:val="18"/>
                <w:szCs w:val="18"/>
              </w:rPr>
              <w:t>ылайыкталган</w:t>
            </w:r>
            <w:proofErr w:type="spellEnd"/>
            <w:r w:rsidR="005577F3" w:rsidRPr="005577F3">
              <w:rPr>
                <w:rFonts w:ascii="Times New Roman UniToktom" w:hAnsi="Times New Roman UniToktom" w:cs="Times New Roman UniToktom"/>
                <w:sz w:val="18"/>
                <w:szCs w:val="18"/>
                <w:lang w:val="ky-KG"/>
              </w:rPr>
              <w:t>.</w:t>
            </w:r>
          </w:p>
        </w:tc>
        <w:tc>
          <w:tcPr>
            <w:tcW w:w="4820" w:type="dxa"/>
          </w:tcPr>
          <w:p w14:paraId="48BB6EBA" w14:textId="77777777" w:rsidR="00445855" w:rsidRPr="005577F3" w:rsidRDefault="005577F3" w:rsidP="00445855">
            <w:pPr>
              <w:ind w:left="35" w:firstLine="283"/>
              <w:rPr>
                <w:sz w:val="18"/>
                <w:szCs w:val="18"/>
              </w:rPr>
            </w:pPr>
            <w:r w:rsidRPr="005577F3">
              <w:rPr>
                <w:rFonts w:ascii="Times New Roman UniToktom" w:hAnsi="Times New Roman UniToktom" w:cs="Times New Roman UniToktom"/>
                <w:i/>
                <w:sz w:val="18"/>
                <w:szCs w:val="18"/>
              </w:rPr>
              <w:t>Публикация предназначено для широкого круга пользователей</w:t>
            </w:r>
            <w:r w:rsidRPr="005577F3">
              <w:rPr>
                <w:rFonts w:ascii="Times New Roman UniToktom" w:hAnsi="Times New Roman UniToktom" w:cs="Times New Roman UniToktom"/>
                <w:i/>
                <w:sz w:val="18"/>
                <w:szCs w:val="18"/>
                <w:lang w:val="ky-KG"/>
              </w:rPr>
              <w:t>.</w:t>
            </w:r>
          </w:p>
        </w:tc>
      </w:tr>
      <w:tr w:rsidR="00445855" w:rsidRPr="002D1CD6" w14:paraId="02465101" w14:textId="77777777" w:rsidTr="00445855">
        <w:tc>
          <w:tcPr>
            <w:tcW w:w="4677" w:type="dxa"/>
          </w:tcPr>
          <w:p w14:paraId="12C2B50D" w14:textId="77777777" w:rsidR="00B075D8" w:rsidRPr="006939F3" w:rsidRDefault="00445855" w:rsidP="00B075D8">
            <w:pPr>
              <w:ind w:firstLine="709"/>
              <w:jc w:val="both"/>
              <w:rPr>
                <w:sz w:val="18"/>
                <w:szCs w:val="18"/>
              </w:rPr>
            </w:pPr>
            <w:proofErr w:type="spellStart"/>
            <w:r w:rsidRPr="002D1CD6">
              <w:rPr>
                <w:sz w:val="18"/>
                <w:szCs w:val="18"/>
              </w:rPr>
              <w:t>Статистикалык</w:t>
            </w:r>
            <w:proofErr w:type="spellEnd"/>
            <w:r w:rsidRPr="002D1CD6">
              <w:rPr>
                <w:sz w:val="18"/>
                <w:szCs w:val="18"/>
              </w:rPr>
              <w:t xml:space="preserve"> </w:t>
            </w:r>
            <w:proofErr w:type="spellStart"/>
            <w:r w:rsidRPr="002D1CD6">
              <w:rPr>
                <w:sz w:val="18"/>
                <w:szCs w:val="18"/>
              </w:rPr>
              <w:t>маалыматтарды</w:t>
            </w:r>
            <w:proofErr w:type="spellEnd"/>
            <w:r w:rsidRPr="002D1CD6">
              <w:rPr>
                <w:sz w:val="18"/>
                <w:szCs w:val="18"/>
              </w:rPr>
              <w:t xml:space="preserve"> </w:t>
            </w:r>
            <w:proofErr w:type="spellStart"/>
            <w:r w:rsidRPr="002D1CD6">
              <w:rPr>
                <w:sz w:val="18"/>
                <w:szCs w:val="18"/>
              </w:rPr>
              <w:t>жалпыга</w:t>
            </w:r>
            <w:proofErr w:type="spellEnd"/>
            <w:r w:rsidRPr="002D1CD6">
              <w:rPr>
                <w:sz w:val="18"/>
                <w:szCs w:val="18"/>
              </w:rPr>
              <w:t xml:space="preserve"> </w:t>
            </w:r>
            <w:proofErr w:type="spellStart"/>
            <w:r w:rsidRPr="002D1CD6">
              <w:rPr>
                <w:sz w:val="18"/>
                <w:szCs w:val="18"/>
              </w:rPr>
              <w:t>маалымдоо</w:t>
            </w:r>
            <w:proofErr w:type="spellEnd"/>
            <w:r w:rsidRPr="002D1CD6">
              <w:rPr>
                <w:sz w:val="18"/>
                <w:szCs w:val="18"/>
              </w:rPr>
              <w:t xml:space="preserve"> </w:t>
            </w:r>
            <w:proofErr w:type="spellStart"/>
            <w:r w:rsidRPr="002D1CD6">
              <w:rPr>
                <w:sz w:val="18"/>
                <w:szCs w:val="18"/>
              </w:rPr>
              <w:t>каражаттарында</w:t>
            </w:r>
            <w:proofErr w:type="spellEnd"/>
            <w:r w:rsidRPr="002D1CD6">
              <w:rPr>
                <w:sz w:val="18"/>
                <w:szCs w:val="18"/>
              </w:rPr>
              <w:t xml:space="preserve"> </w:t>
            </w:r>
            <w:proofErr w:type="spellStart"/>
            <w:r w:rsidRPr="002D1CD6">
              <w:rPr>
                <w:sz w:val="18"/>
                <w:szCs w:val="18"/>
              </w:rPr>
              <w:t>жана</w:t>
            </w:r>
            <w:proofErr w:type="spellEnd"/>
            <w:r w:rsidRPr="002D1CD6">
              <w:rPr>
                <w:sz w:val="18"/>
                <w:szCs w:val="18"/>
              </w:rPr>
              <w:t xml:space="preserve"> </w:t>
            </w:r>
            <w:proofErr w:type="spellStart"/>
            <w:r w:rsidRPr="002D1CD6">
              <w:rPr>
                <w:sz w:val="18"/>
                <w:szCs w:val="18"/>
              </w:rPr>
              <w:t>илимий</w:t>
            </w:r>
            <w:proofErr w:type="spellEnd"/>
            <w:r w:rsidRPr="002D1CD6">
              <w:rPr>
                <w:sz w:val="18"/>
                <w:szCs w:val="18"/>
              </w:rPr>
              <w:t xml:space="preserve"> </w:t>
            </w:r>
            <w:proofErr w:type="spellStart"/>
            <w:r w:rsidRPr="002D1CD6">
              <w:rPr>
                <w:sz w:val="18"/>
                <w:szCs w:val="18"/>
              </w:rPr>
              <w:t>эмгектерде</w:t>
            </w:r>
            <w:proofErr w:type="spellEnd"/>
            <w:r w:rsidRPr="002D1CD6">
              <w:rPr>
                <w:sz w:val="18"/>
                <w:szCs w:val="18"/>
              </w:rPr>
              <w:t xml:space="preserve"> </w:t>
            </w:r>
            <w:proofErr w:type="spellStart"/>
            <w:r w:rsidRPr="002D1CD6">
              <w:rPr>
                <w:sz w:val="18"/>
                <w:szCs w:val="18"/>
              </w:rPr>
              <w:t>пайдаланган</w:t>
            </w:r>
            <w:proofErr w:type="spellEnd"/>
            <w:r w:rsidRPr="002D1CD6">
              <w:rPr>
                <w:sz w:val="18"/>
                <w:szCs w:val="18"/>
              </w:rPr>
              <w:t xml:space="preserve"> </w:t>
            </w:r>
            <w:proofErr w:type="spellStart"/>
            <w:r w:rsidRPr="002D1CD6">
              <w:rPr>
                <w:sz w:val="18"/>
                <w:szCs w:val="18"/>
              </w:rPr>
              <w:t>учурда</w:t>
            </w:r>
            <w:proofErr w:type="spellEnd"/>
            <w:r w:rsidRPr="002D1CD6">
              <w:rPr>
                <w:sz w:val="18"/>
                <w:szCs w:val="18"/>
              </w:rPr>
              <w:t xml:space="preserve"> </w:t>
            </w:r>
            <w:proofErr w:type="spellStart"/>
            <w:r w:rsidRPr="002D1CD6">
              <w:rPr>
                <w:sz w:val="18"/>
                <w:szCs w:val="18"/>
              </w:rPr>
              <w:t>маалымат</w:t>
            </w:r>
            <w:proofErr w:type="spellEnd"/>
            <w:r w:rsidRPr="002D1CD6">
              <w:rPr>
                <w:sz w:val="18"/>
                <w:szCs w:val="18"/>
              </w:rPr>
              <w:t xml:space="preserve"> </w:t>
            </w:r>
            <w:proofErr w:type="spellStart"/>
            <w:r w:rsidRPr="002D1CD6">
              <w:rPr>
                <w:sz w:val="18"/>
                <w:szCs w:val="18"/>
              </w:rPr>
              <w:t>тармактарына</w:t>
            </w:r>
            <w:proofErr w:type="spellEnd"/>
            <w:r w:rsidRPr="002D1CD6">
              <w:rPr>
                <w:sz w:val="18"/>
                <w:szCs w:val="18"/>
              </w:rPr>
              <w:t xml:space="preserve">, </w:t>
            </w:r>
            <w:proofErr w:type="spellStart"/>
            <w:r w:rsidRPr="002D1CD6">
              <w:rPr>
                <w:sz w:val="18"/>
                <w:szCs w:val="18"/>
              </w:rPr>
              <w:t>кагазда</w:t>
            </w:r>
            <w:proofErr w:type="spellEnd"/>
            <w:r w:rsidRPr="002D1CD6">
              <w:rPr>
                <w:sz w:val="18"/>
                <w:szCs w:val="18"/>
              </w:rPr>
              <w:t xml:space="preserve">, </w:t>
            </w:r>
            <w:proofErr w:type="spellStart"/>
            <w:r w:rsidRPr="002D1CD6">
              <w:rPr>
                <w:sz w:val="18"/>
                <w:szCs w:val="18"/>
              </w:rPr>
              <w:t>магниттик</w:t>
            </w:r>
            <w:proofErr w:type="spellEnd"/>
            <w:r w:rsidRPr="002D1CD6">
              <w:rPr>
                <w:sz w:val="18"/>
                <w:szCs w:val="18"/>
              </w:rPr>
              <w:t xml:space="preserve"> </w:t>
            </w:r>
            <w:proofErr w:type="spellStart"/>
            <w:r w:rsidRPr="002D1CD6">
              <w:rPr>
                <w:sz w:val="18"/>
                <w:szCs w:val="18"/>
              </w:rPr>
              <w:t>жана</w:t>
            </w:r>
            <w:proofErr w:type="spellEnd"/>
            <w:r w:rsidRPr="002D1CD6">
              <w:rPr>
                <w:sz w:val="18"/>
                <w:szCs w:val="18"/>
              </w:rPr>
              <w:t xml:space="preserve"> башка </w:t>
            </w:r>
            <w:proofErr w:type="spellStart"/>
            <w:r w:rsidRPr="002D1CD6">
              <w:rPr>
                <w:sz w:val="18"/>
                <w:szCs w:val="18"/>
              </w:rPr>
              <w:t>алып</w:t>
            </w:r>
            <w:proofErr w:type="spellEnd"/>
            <w:r w:rsidRPr="002D1CD6">
              <w:rPr>
                <w:sz w:val="18"/>
                <w:szCs w:val="18"/>
              </w:rPr>
              <w:t xml:space="preserve"> </w:t>
            </w:r>
            <w:proofErr w:type="spellStart"/>
            <w:r w:rsidRPr="002D1CD6">
              <w:rPr>
                <w:sz w:val="18"/>
                <w:szCs w:val="18"/>
              </w:rPr>
              <w:t>жүрүүчүлөрдө</w:t>
            </w:r>
            <w:proofErr w:type="spellEnd"/>
            <w:r w:rsidRPr="002D1CD6">
              <w:rPr>
                <w:sz w:val="18"/>
                <w:szCs w:val="18"/>
              </w:rPr>
              <w:t xml:space="preserve"> </w:t>
            </w:r>
            <w:proofErr w:type="spellStart"/>
            <w:r w:rsidRPr="002D1CD6">
              <w:rPr>
                <w:sz w:val="18"/>
                <w:szCs w:val="18"/>
              </w:rPr>
              <w:t>таратканда</w:t>
            </w:r>
            <w:proofErr w:type="spellEnd"/>
            <w:r w:rsidRPr="002D1CD6">
              <w:rPr>
                <w:sz w:val="18"/>
                <w:szCs w:val="18"/>
              </w:rPr>
              <w:t xml:space="preserve">, </w:t>
            </w:r>
            <w:proofErr w:type="spellStart"/>
            <w:r w:rsidRPr="002D1CD6">
              <w:rPr>
                <w:sz w:val="18"/>
                <w:szCs w:val="18"/>
              </w:rPr>
              <w:t>пайдалануучулар</w:t>
            </w:r>
            <w:proofErr w:type="spellEnd"/>
            <w:r w:rsidRPr="002D1CD6">
              <w:rPr>
                <w:sz w:val="18"/>
                <w:szCs w:val="18"/>
              </w:rPr>
              <w:t xml:space="preserve"> </w:t>
            </w:r>
            <w:proofErr w:type="spellStart"/>
            <w:r w:rsidRPr="002D1CD6">
              <w:rPr>
                <w:sz w:val="18"/>
                <w:szCs w:val="18"/>
              </w:rPr>
              <w:t>алардын</w:t>
            </w:r>
            <w:proofErr w:type="spellEnd"/>
            <w:r w:rsidRPr="002D1CD6">
              <w:rPr>
                <w:sz w:val="18"/>
                <w:szCs w:val="18"/>
              </w:rPr>
              <w:t xml:space="preserve"> </w:t>
            </w:r>
            <w:proofErr w:type="spellStart"/>
            <w:r w:rsidRPr="002D1CD6">
              <w:rPr>
                <w:sz w:val="18"/>
                <w:szCs w:val="18"/>
              </w:rPr>
              <w:t>булагын</w:t>
            </w:r>
            <w:proofErr w:type="spellEnd"/>
            <w:r w:rsidRPr="002D1CD6">
              <w:rPr>
                <w:sz w:val="18"/>
                <w:szCs w:val="18"/>
              </w:rPr>
              <w:t xml:space="preserve"> </w:t>
            </w:r>
            <w:proofErr w:type="spellStart"/>
            <w:r w:rsidRPr="002D1CD6">
              <w:rPr>
                <w:sz w:val="18"/>
                <w:szCs w:val="18"/>
              </w:rPr>
              <w:t>көрсөтүүгө</w:t>
            </w:r>
            <w:proofErr w:type="spellEnd"/>
            <w:r w:rsidRPr="002D1CD6">
              <w:rPr>
                <w:sz w:val="18"/>
                <w:szCs w:val="18"/>
              </w:rPr>
              <w:t xml:space="preserve"> </w:t>
            </w:r>
            <w:proofErr w:type="spellStart"/>
            <w:r w:rsidRPr="002D1CD6">
              <w:rPr>
                <w:sz w:val="18"/>
                <w:szCs w:val="18"/>
              </w:rPr>
              <w:t>милдеттүү</w:t>
            </w:r>
            <w:proofErr w:type="spellEnd"/>
            <w:r w:rsidRPr="002D1CD6">
              <w:rPr>
                <w:sz w:val="18"/>
                <w:szCs w:val="18"/>
              </w:rPr>
              <w:t xml:space="preserve"> </w:t>
            </w:r>
            <w:r w:rsidR="00B075D8" w:rsidRPr="006939F3">
              <w:rPr>
                <w:sz w:val="18"/>
                <w:szCs w:val="18"/>
              </w:rPr>
              <w:t>(«</w:t>
            </w:r>
            <w:proofErr w:type="spellStart"/>
            <w:r w:rsidR="00B075D8" w:rsidRPr="006939F3">
              <w:rPr>
                <w:sz w:val="18"/>
                <w:szCs w:val="18"/>
              </w:rPr>
              <w:t>Расмий</w:t>
            </w:r>
            <w:proofErr w:type="spellEnd"/>
            <w:r w:rsidR="00B075D8" w:rsidRPr="006939F3">
              <w:rPr>
                <w:sz w:val="18"/>
                <w:szCs w:val="18"/>
              </w:rPr>
              <w:t xml:space="preserve"> статистика </w:t>
            </w:r>
            <w:proofErr w:type="spellStart"/>
            <w:r w:rsidR="00B075D8" w:rsidRPr="006939F3">
              <w:rPr>
                <w:sz w:val="18"/>
                <w:szCs w:val="18"/>
              </w:rPr>
              <w:t>жөнүндө</w:t>
            </w:r>
            <w:proofErr w:type="spellEnd"/>
            <w:r w:rsidR="00B075D8" w:rsidRPr="006939F3">
              <w:rPr>
                <w:sz w:val="18"/>
                <w:szCs w:val="18"/>
              </w:rPr>
              <w:t xml:space="preserve">» </w:t>
            </w:r>
            <w:proofErr w:type="spellStart"/>
            <w:r w:rsidR="00B075D8" w:rsidRPr="006939F3">
              <w:rPr>
                <w:sz w:val="18"/>
                <w:szCs w:val="18"/>
              </w:rPr>
              <w:t>мыйзамынын</w:t>
            </w:r>
            <w:proofErr w:type="spellEnd"/>
            <w:r w:rsidR="00B075D8" w:rsidRPr="006939F3">
              <w:rPr>
                <w:sz w:val="18"/>
                <w:szCs w:val="18"/>
              </w:rPr>
              <w:t xml:space="preserve"> 30-статьясы). </w:t>
            </w:r>
          </w:p>
          <w:p w14:paraId="52A86F5D" w14:textId="77777777" w:rsidR="00445855" w:rsidRPr="002D1CD6" w:rsidRDefault="00445855" w:rsidP="00B075D8">
            <w:pPr>
              <w:ind w:firstLine="709"/>
              <w:jc w:val="both"/>
              <w:rPr>
                <w:sz w:val="18"/>
                <w:szCs w:val="18"/>
              </w:rPr>
            </w:pPr>
          </w:p>
        </w:tc>
        <w:tc>
          <w:tcPr>
            <w:tcW w:w="4820" w:type="dxa"/>
          </w:tcPr>
          <w:p w14:paraId="22C5331B" w14:textId="77777777" w:rsidR="00445855" w:rsidRPr="002D1CD6" w:rsidRDefault="00445855" w:rsidP="00B075D8">
            <w:pPr>
              <w:ind w:right="-1" w:firstLine="709"/>
              <w:jc w:val="both"/>
              <w:rPr>
                <w:sz w:val="18"/>
                <w:szCs w:val="18"/>
              </w:rPr>
            </w:pPr>
            <w:r w:rsidRPr="002D1CD6">
              <w:rPr>
                <w:i/>
                <w:sz w:val="18"/>
                <w:szCs w:val="18"/>
              </w:rPr>
              <w:t xml:space="preserve">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w:t>
            </w:r>
            <w:r w:rsidR="00B075D8" w:rsidRPr="006939F3">
              <w:rPr>
                <w:i/>
                <w:sz w:val="18"/>
                <w:szCs w:val="18"/>
              </w:rPr>
              <w:t>(ст. 30 Закона «Об официальной статистике»).</w:t>
            </w:r>
            <w:r w:rsidR="00B075D8" w:rsidRPr="002D1CD6">
              <w:rPr>
                <w:i/>
                <w:sz w:val="18"/>
                <w:szCs w:val="18"/>
              </w:rPr>
              <w:t xml:space="preserve"> </w:t>
            </w:r>
          </w:p>
        </w:tc>
      </w:tr>
      <w:tr w:rsidR="00445855" w:rsidRPr="002D1CD6" w14:paraId="7A418705" w14:textId="77777777" w:rsidTr="00445855">
        <w:tc>
          <w:tcPr>
            <w:tcW w:w="4677" w:type="dxa"/>
          </w:tcPr>
          <w:p w14:paraId="5E9E3DB2" w14:textId="77777777" w:rsidR="00445855" w:rsidRPr="002D1CD6" w:rsidRDefault="00445855" w:rsidP="00445855">
            <w:pPr>
              <w:ind w:left="1134"/>
              <w:outlineLvl w:val="0"/>
              <w:rPr>
                <w:b/>
                <w:sz w:val="18"/>
                <w:szCs w:val="18"/>
                <w:lang w:val="ky-KG"/>
              </w:rPr>
            </w:pPr>
            <w:proofErr w:type="spellStart"/>
            <w:r w:rsidRPr="002D1CD6">
              <w:rPr>
                <w:b/>
                <w:sz w:val="18"/>
                <w:szCs w:val="18"/>
              </w:rPr>
              <w:t>Шарттуу</w:t>
            </w:r>
            <w:proofErr w:type="spellEnd"/>
            <w:r w:rsidRPr="002D1CD6">
              <w:rPr>
                <w:b/>
                <w:sz w:val="18"/>
                <w:szCs w:val="18"/>
              </w:rPr>
              <w:t xml:space="preserve"> </w:t>
            </w:r>
            <w:proofErr w:type="spellStart"/>
            <w:r w:rsidRPr="002D1CD6">
              <w:rPr>
                <w:b/>
                <w:sz w:val="18"/>
                <w:szCs w:val="18"/>
              </w:rPr>
              <w:t>белгилер</w:t>
            </w:r>
            <w:proofErr w:type="spellEnd"/>
            <w:r w:rsidRPr="002D1CD6">
              <w:rPr>
                <w:b/>
                <w:sz w:val="18"/>
                <w:szCs w:val="18"/>
              </w:rPr>
              <w:t>:</w:t>
            </w:r>
          </w:p>
        </w:tc>
        <w:tc>
          <w:tcPr>
            <w:tcW w:w="4820" w:type="dxa"/>
          </w:tcPr>
          <w:p w14:paraId="77B1C78E" w14:textId="77777777" w:rsidR="00445855" w:rsidRPr="002D1CD6" w:rsidRDefault="00445855" w:rsidP="00445855">
            <w:pPr>
              <w:rPr>
                <w:i/>
                <w:sz w:val="18"/>
                <w:szCs w:val="18"/>
              </w:rPr>
            </w:pPr>
            <w:r w:rsidRPr="002D1CD6">
              <w:rPr>
                <w:b/>
                <w:i/>
                <w:sz w:val="18"/>
                <w:szCs w:val="18"/>
              </w:rPr>
              <w:t>Условные знаки:</w:t>
            </w:r>
          </w:p>
        </w:tc>
      </w:tr>
    </w:tbl>
    <w:p w14:paraId="3EE5D582" w14:textId="77777777" w:rsidR="00445855" w:rsidRPr="002D1CD6" w:rsidRDefault="00445855" w:rsidP="00445855">
      <w:pPr>
        <w:rPr>
          <w:sz w:val="18"/>
          <w:szCs w:val="18"/>
        </w:rPr>
      </w:pPr>
    </w:p>
    <w:tbl>
      <w:tblPr>
        <w:tblW w:w="0" w:type="auto"/>
        <w:tblInd w:w="1691" w:type="dxa"/>
        <w:tblLayout w:type="fixed"/>
        <w:tblCellMar>
          <w:left w:w="70" w:type="dxa"/>
          <w:right w:w="70" w:type="dxa"/>
        </w:tblCellMar>
        <w:tblLook w:val="0000" w:firstRow="0" w:lastRow="0" w:firstColumn="0" w:lastColumn="0" w:noHBand="0" w:noVBand="0"/>
      </w:tblPr>
      <w:tblGrid>
        <w:gridCol w:w="1153"/>
        <w:gridCol w:w="5103"/>
      </w:tblGrid>
      <w:tr w:rsidR="00445855" w:rsidRPr="002D1CD6" w14:paraId="646760F9" w14:textId="77777777" w:rsidTr="00445855">
        <w:tc>
          <w:tcPr>
            <w:tcW w:w="1153" w:type="dxa"/>
          </w:tcPr>
          <w:p w14:paraId="123CBE76" w14:textId="77777777" w:rsidR="00445855" w:rsidRPr="002D1CD6" w:rsidRDefault="00445855" w:rsidP="00445855">
            <w:pPr>
              <w:rPr>
                <w:i/>
                <w:sz w:val="18"/>
                <w:szCs w:val="18"/>
              </w:rPr>
            </w:pPr>
            <w:r w:rsidRPr="002D1CD6">
              <w:rPr>
                <w:i/>
                <w:sz w:val="18"/>
                <w:szCs w:val="18"/>
              </w:rPr>
              <w:t>-</w:t>
            </w:r>
          </w:p>
        </w:tc>
        <w:tc>
          <w:tcPr>
            <w:tcW w:w="5103" w:type="dxa"/>
          </w:tcPr>
          <w:p w14:paraId="3F636D5D" w14:textId="77777777" w:rsidR="00445855" w:rsidRPr="002D1CD6" w:rsidRDefault="00445855" w:rsidP="00445855">
            <w:pPr>
              <w:rPr>
                <w:i/>
                <w:sz w:val="18"/>
                <w:szCs w:val="18"/>
              </w:rPr>
            </w:pPr>
            <w:proofErr w:type="spellStart"/>
            <w:r w:rsidRPr="002D1CD6">
              <w:rPr>
                <w:sz w:val="18"/>
                <w:szCs w:val="18"/>
              </w:rPr>
              <w:t>кубулуш</w:t>
            </w:r>
            <w:proofErr w:type="spellEnd"/>
            <w:r w:rsidRPr="002D1CD6">
              <w:rPr>
                <w:sz w:val="18"/>
                <w:szCs w:val="18"/>
              </w:rPr>
              <w:t xml:space="preserve"> </w:t>
            </w:r>
            <w:proofErr w:type="spellStart"/>
            <w:r w:rsidRPr="002D1CD6">
              <w:rPr>
                <w:sz w:val="18"/>
                <w:szCs w:val="18"/>
              </w:rPr>
              <w:t>болгон</w:t>
            </w:r>
            <w:proofErr w:type="spellEnd"/>
            <w:r w:rsidRPr="002D1CD6">
              <w:rPr>
                <w:sz w:val="18"/>
                <w:szCs w:val="18"/>
              </w:rPr>
              <w:t xml:space="preserve"> </w:t>
            </w:r>
            <w:proofErr w:type="spellStart"/>
            <w:r w:rsidRPr="002D1CD6">
              <w:rPr>
                <w:sz w:val="18"/>
                <w:szCs w:val="18"/>
              </w:rPr>
              <w:t>эмес</w:t>
            </w:r>
            <w:proofErr w:type="spellEnd"/>
            <w:r w:rsidRPr="002D1CD6">
              <w:rPr>
                <w:sz w:val="18"/>
                <w:szCs w:val="18"/>
                <w:lang w:val="ky-KG"/>
              </w:rPr>
              <w:t xml:space="preserve"> / </w:t>
            </w:r>
            <w:r w:rsidRPr="002D1CD6">
              <w:rPr>
                <w:i/>
                <w:sz w:val="18"/>
                <w:szCs w:val="18"/>
              </w:rPr>
              <w:t>явление отсутствует</w:t>
            </w:r>
          </w:p>
        </w:tc>
      </w:tr>
      <w:tr w:rsidR="00445855" w:rsidRPr="002D1CD6" w14:paraId="12904458" w14:textId="77777777" w:rsidTr="00445855">
        <w:tc>
          <w:tcPr>
            <w:tcW w:w="1153" w:type="dxa"/>
          </w:tcPr>
          <w:p w14:paraId="6D0028A4" w14:textId="77777777" w:rsidR="00445855" w:rsidRPr="002D1CD6" w:rsidRDefault="00445855" w:rsidP="00445855">
            <w:pPr>
              <w:rPr>
                <w:i/>
                <w:sz w:val="18"/>
                <w:szCs w:val="18"/>
              </w:rPr>
            </w:pPr>
            <w:r w:rsidRPr="002D1CD6">
              <w:rPr>
                <w:i/>
                <w:sz w:val="18"/>
                <w:szCs w:val="18"/>
              </w:rPr>
              <w:t>...</w:t>
            </w:r>
          </w:p>
        </w:tc>
        <w:tc>
          <w:tcPr>
            <w:tcW w:w="5103" w:type="dxa"/>
          </w:tcPr>
          <w:p w14:paraId="3A2402E8" w14:textId="77777777" w:rsidR="00445855" w:rsidRPr="002D1CD6" w:rsidRDefault="00445855" w:rsidP="00445855">
            <w:pPr>
              <w:rPr>
                <w:i/>
                <w:sz w:val="18"/>
                <w:szCs w:val="18"/>
                <w:lang w:val="ky-KG"/>
              </w:rPr>
            </w:pPr>
            <w:proofErr w:type="spellStart"/>
            <w:r w:rsidRPr="002D1CD6">
              <w:rPr>
                <w:sz w:val="18"/>
                <w:szCs w:val="18"/>
              </w:rPr>
              <w:t>маалымат</w:t>
            </w:r>
            <w:proofErr w:type="spellEnd"/>
            <w:r w:rsidRPr="002D1CD6">
              <w:rPr>
                <w:sz w:val="18"/>
                <w:szCs w:val="18"/>
              </w:rPr>
              <w:t xml:space="preserve"> жок</w:t>
            </w:r>
            <w:r w:rsidRPr="002D1CD6">
              <w:rPr>
                <w:sz w:val="18"/>
                <w:szCs w:val="18"/>
                <w:lang w:val="ky-KG"/>
              </w:rPr>
              <w:t xml:space="preserve"> / </w:t>
            </w:r>
            <w:r w:rsidRPr="002D1CD6">
              <w:rPr>
                <w:i/>
                <w:sz w:val="18"/>
                <w:szCs w:val="18"/>
              </w:rPr>
              <w:t>данных не имеется</w:t>
            </w:r>
          </w:p>
        </w:tc>
      </w:tr>
      <w:tr w:rsidR="00445855" w:rsidRPr="002D1CD6" w14:paraId="26B176AD" w14:textId="77777777" w:rsidTr="00445855">
        <w:tc>
          <w:tcPr>
            <w:tcW w:w="1153" w:type="dxa"/>
          </w:tcPr>
          <w:p w14:paraId="439A9113" w14:textId="77777777" w:rsidR="00445855" w:rsidRPr="002D1CD6" w:rsidRDefault="00445855" w:rsidP="00445855">
            <w:pPr>
              <w:rPr>
                <w:i/>
                <w:sz w:val="18"/>
                <w:szCs w:val="18"/>
              </w:rPr>
            </w:pPr>
            <w:r w:rsidRPr="002D1CD6">
              <w:rPr>
                <w:i/>
                <w:sz w:val="18"/>
                <w:szCs w:val="18"/>
              </w:rPr>
              <w:t>0,0</w:t>
            </w:r>
          </w:p>
        </w:tc>
        <w:tc>
          <w:tcPr>
            <w:tcW w:w="5103" w:type="dxa"/>
          </w:tcPr>
          <w:p w14:paraId="1BBC6D15" w14:textId="77777777" w:rsidR="00445855" w:rsidRPr="002D1CD6" w:rsidRDefault="00445855" w:rsidP="00445855">
            <w:pPr>
              <w:rPr>
                <w:i/>
                <w:sz w:val="18"/>
                <w:szCs w:val="18"/>
              </w:rPr>
            </w:pPr>
            <w:proofErr w:type="spellStart"/>
            <w:r w:rsidRPr="002D1CD6">
              <w:rPr>
                <w:sz w:val="18"/>
                <w:szCs w:val="18"/>
              </w:rPr>
              <w:t>анча</w:t>
            </w:r>
            <w:proofErr w:type="spellEnd"/>
            <w:r w:rsidRPr="002D1CD6">
              <w:rPr>
                <w:sz w:val="18"/>
                <w:szCs w:val="18"/>
              </w:rPr>
              <w:t xml:space="preserve"> </w:t>
            </w:r>
            <w:proofErr w:type="spellStart"/>
            <w:r w:rsidRPr="002D1CD6">
              <w:rPr>
                <w:sz w:val="18"/>
                <w:szCs w:val="18"/>
              </w:rPr>
              <w:t>чо</w:t>
            </w:r>
            <w:proofErr w:type="spellEnd"/>
            <w:r w:rsidRPr="002D1CD6">
              <w:rPr>
                <w:sz w:val="18"/>
                <w:szCs w:val="18"/>
                <w:lang w:val="ky-KG"/>
              </w:rPr>
              <w:t>ң</w:t>
            </w:r>
            <w:r w:rsidRPr="002D1CD6">
              <w:rPr>
                <w:sz w:val="18"/>
                <w:szCs w:val="18"/>
              </w:rPr>
              <w:t xml:space="preserve"> </w:t>
            </w:r>
            <w:proofErr w:type="spellStart"/>
            <w:r w:rsidRPr="002D1CD6">
              <w:rPr>
                <w:sz w:val="18"/>
                <w:szCs w:val="18"/>
              </w:rPr>
              <w:t>эмес</w:t>
            </w:r>
            <w:proofErr w:type="spellEnd"/>
            <w:r w:rsidRPr="002D1CD6">
              <w:rPr>
                <w:sz w:val="18"/>
                <w:szCs w:val="18"/>
              </w:rPr>
              <w:t xml:space="preserve"> </w:t>
            </w:r>
            <w:proofErr w:type="spellStart"/>
            <w:r w:rsidRPr="002D1CD6">
              <w:rPr>
                <w:sz w:val="18"/>
                <w:szCs w:val="18"/>
              </w:rPr>
              <w:t>өлчөм</w:t>
            </w:r>
            <w:proofErr w:type="spellEnd"/>
            <w:r w:rsidRPr="002D1CD6">
              <w:rPr>
                <w:sz w:val="18"/>
                <w:szCs w:val="18"/>
                <w:lang w:val="ky-KG"/>
              </w:rPr>
              <w:t xml:space="preserve"> / </w:t>
            </w:r>
            <w:r w:rsidRPr="002D1CD6">
              <w:rPr>
                <w:i/>
                <w:sz w:val="18"/>
                <w:szCs w:val="18"/>
              </w:rPr>
              <w:t>незначительная величина</w:t>
            </w:r>
          </w:p>
        </w:tc>
      </w:tr>
    </w:tbl>
    <w:p w14:paraId="01229F99" w14:textId="77777777" w:rsidR="00445855" w:rsidRPr="002D1CD6" w:rsidRDefault="00445855" w:rsidP="00445855">
      <w:pPr>
        <w:rPr>
          <w:sz w:val="18"/>
          <w:szCs w:val="18"/>
          <w:lang w:val="ky-KG"/>
        </w:rPr>
      </w:pPr>
    </w:p>
    <w:tbl>
      <w:tblPr>
        <w:tblW w:w="0" w:type="auto"/>
        <w:tblInd w:w="250" w:type="dxa"/>
        <w:tblLook w:val="04A0" w:firstRow="1" w:lastRow="0" w:firstColumn="1" w:lastColumn="0" w:noHBand="0" w:noVBand="1"/>
      </w:tblPr>
      <w:tblGrid>
        <w:gridCol w:w="4624"/>
        <w:gridCol w:w="4764"/>
      </w:tblGrid>
      <w:tr w:rsidR="00445855" w:rsidRPr="002D1CD6" w14:paraId="0F0FF51D" w14:textId="77777777" w:rsidTr="00445855">
        <w:tc>
          <w:tcPr>
            <w:tcW w:w="4677" w:type="dxa"/>
          </w:tcPr>
          <w:p w14:paraId="28514E68" w14:textId="77777777" w:rsidR="00445855" w:rsidRPr="002D1CD6" w:rsidRDefault="00445855" w:rsidP="00445855">
            <w:pPr>
              <w:jc w:val="both"/>
              <w:rPr>
                <w:sz w:val="18"/>
                <w:szCs w:val="18"/>
                <w:lang w:val="ky-KG"/>
              </w:rPr>
            </w:pPr>
            <w:r w:rsidRPr="002D1CD6">
              <w:rPr>
                <w:sz w:val="18"/>
                <w:szCs w:val="18"/>
                <w:lang w:val="ky-KG"/>
              </w:rPr>
              <w:t>Жыйынтыктын кошулган суммалардан бир аз айырмасы, алардын тегеректелиши менен түшүндүрүлөт.</w:t>
            </w:r>
            <w:r w:rsidR="002A3E48">
              <w:rPr>
                <w:sz w:val="18"/>
                <w:szCs w:val="18"/>
                <w:lang w:val="ky-KG"/>
              </w:rPr>
              <w:t xml:space="preserve"> Кээ бир учурларда райондук, шаардык  деңгээлдеги көрсөткүчтөрдүн суммасы жалпы регион боюнча жалпыга  барабар эмес.</w:t>
            </w:r>
          </w:p>
          <w:p w14:paraId="5239AA7F" w14:textId="77777777" w:rsidR="00445855" w:rsidRPr="002D1CD6" w:rsidRDefault="00445855" w:rsidP="00445855">
            <w:pPr>
              <w:jc w:val="both"/>
              <w:rPr>
                <w:sz w:val="18"/>
                <w:szCs w:val="18"/>
                <w:lang w:val="ky-KG"/>
              </w:rPr>
            </w:pPr>
            <w:r w:rsidRPr="002D1CD6">
              <w:rPr>
                <w:sz w:val="18"/>
                <w:szCs w:val="18"/>
                <w:lang w:val="ky-KG"/>
              </w:rPr>
              <w:br w:type="page"/>
            </w:r>
          </w:p>
          <w:p w14:paraId="094EB0C1" w14:textId="77777777" w:rsidR="00445855" w:rsidRPr="002D1CD6" w:rsidRDefault="00445855" w:rsidP="00445855">
            <w:pPr>
              <w:ind w:left="1134"/>
              <w:outlineLvl w:val="0"/>
              <w:rPr>
                <w:b/>
                <w:sz w:val="18"/>
                <w:szCs w:val="18"/>
                <w:lang w:val="ky-KG"/>
              </w:rPr>
            </w:pPr>
          </w:p>
        </w:tc>
        <w:tc>
          <w:tcPr>
            <w:tcW w:w="4820" w:type="dxa"/>
          </w:tcPr>
          <w:p w14:paraId="2ADF9968" w14:textId="77777777" w:rsidR="00445855" w:rsidRPr="002D1CD6" w:rsidRDefault="00445855" w:rsidP="00445855">
            <w:pPr>
              <w:rPr>
                <w:i/>
                <w:sz w:val="18"/>
                <w:szCs w:val="18"/>
              </w:rPr>
            </w:pPr>
            <w:r w:rsidRPr="002D1CD6">
              <w:rPr>
                <w:i/>
                <w:sz w:val="18"/>
                <w:szCs w:val="18"/>
              </w:rPr>
              <w:t xml:space="preserve">Незначительные расхождения итога от суммы слагаемых объясняются округлением </w:t>
            </w:r>
            <w:proofErr w:type="spellStart"/>
            <w:proofErr w:type="gramStart"/>
            <w:r w:rsidRPr="002D1CD6">
              <w:rPr>
                <w:i/>
                <w:sz w:val="18"/>
                <w:szCs w:val="18"/>
              </w:rPr>
              <w:t>данных.В</w:t>
            </w:r>
            <w:proofErr w:type="spellEnd"/>
            <w:proofErr w:type="gramEnd"/>
            <w:r w:rsidRPr="002D1CD6">
              <w:rPr>
                <w:i/>
                <w:sz w:val="18"/>
                <w:szCs w:val="18"/>
              </w:rPr>
              <w:t xml:space="preserve"> отдельных случаях сумма показателей на районном (городском) уровне не равняется итогу в целом по области.</w:t>
            </w:r>
          </w:p>
          <w:p w14:paraId="5F0CF496" w14:textId="77777777" w:rsidR="00445855" w:rsidRPr="002D1CD6" w:rsidRDefault="00445855" w:rsidP="00445855">
            <w:pPr>
              <w:rPr>
                <w:i/>
                <w:sz w:val="18"/>
                <w:szCs w:val="18"/>
              </w:rPr>
            </w:pPr>
          </w:p>
        </w:tc>
      </w:tr>
    </w:tbl>
    <w:p w14:paraId="723B0C1C" w14:textId="77777777" w:rsidR="00445855" w:rsidRPr="002D1CD6" w:rsidRDefault="00445855" w:rsidP="00445855">
      <w:pPr>
        <w:rPr>
          <w:sz w:val="18"/>
          <w:lang w:val="ky-KG"/>
        </w:rPr>
      </w:pPr>
    </w:p>
    <w:p w14:paraId="5E4C7F50" w14:textId="77777777" w:rsidR="006E3545" w:rsidRPr="00445855" w:rsidRDefault="006E3545" w:rsidP="006E3545">
      <w:pPr>
        <w:rPr>
          <w:sz w:val="24"/>
          <w:lang w:val="ky-KG"/>
        </w:rPr>
      </w:pPr>
    </w:p>
    <w:tbl>
      <w:tblPr>
        <w:tblW w:w="0" w:type="auto"/>
        <w:tblInd w:w="250" w:type="dxa"/>
        <w:tblLook w:val="04A0" w:firstRow="1" w:lastRow="0" w:firstColumn="1" w:lastColumn="0" w:noHBand="0" w:noVBand="1"/>
      </w:tblPr>
      <w:tblGrid>
        <w:gridCol w:w="4622"/>
        <w:gridCol w:w="4766"/>
      </w:tblGrid>
      <w:tr w:rsidR="005577F3" w:rsidRPr="00B42EEF" w14:paraId="3D016A6C" w14:textId="77777777" w:rsidTr="0075517F">
        <w:tc>
          <w:tcPr>
            <w:tcW w:w="4677" w:type="dxa"/>
          </w:tcPr>
          <w:p w14:paraId="37BD04B1" w14:textId="77777777" w:rsidR="00572E0C" w:rsidRPr="00B42EEF" w:rsidRDefault="007F1CE9" w:rsidP="00572E0C">
            <w:pPr>
              <w:pStyle w:val="1"/>
              <w:rPr>
                <w:b/>
                <w:color w:val="000000"/>
                <w:sz w:val="20"/>
                <w:szCs w:val="20"/>
              </w:rPr>
            </w:pPr>
            <w:r>
              <w:rPr>
                <w:sz w:val="24"/>
              </w:rPr>
              <w:br w:type="page"/>
            </w:r>
            <w:r w:rsidR="005577F3" w:rsidRPr="00B42EEF">
              <w:rPr>
                <w:b/>
                <w:sz w:val="18"/>
                <w:szCs w:val="18"/>
                <w:lang w:val="ky-KG"/>
              </w:rPr>
              <w:br w:type="page"/>
            </w:r>
            <w:r w:rsidR="00572E0C" w:rsidRPr="00B42EEF">
              <w:rPr>
                <w:b/>
                <w:color w:val="000000"/>
                <w:sz w:val="20"/>
                <w:szCs w:val="20"/>
              </w:rPr>
              <w:t>КИРИШ С</w:t>
            </w:r>
            <w:r w:rsidR="00B42EEF">
              <w:rPr>
                <w:b/>
                <w:color w:val="000000"/>
                <w:sz w:val="20"/>
                <w:szCs w:val="20"/>
              </w:rPr>
              <w:t>Ө</w:t>
            </w:r>
            <w:r w:rsidR="00572E0C" w:rsidRPr="00B42EEF">
              <w:rPr>
                <w:b/>
                <w:color w:val="000000"/>
                <w:sz w:val="20"/>
                <w:szCs w:val="20"/>
              </w:rPr>
              <w:t>З</w:t>
            </w:r>
          </w:p>
          <w:p w14:paraId="6969D1F7" w14:textId="77777777" w:rsidR="005577F3" w:rsidRPr="00B42EEF" w:rsidRDefault="005577F3" w:rsidP="00572E0C">
            <w:pPr>
              <w:ind w:left="1134"/>
              <w:outlineLvl w:val="0"/>
              <w:rPr>
                <w:b/>
                <w:lang w:val="ky-KG"/>
              </w:rPr>
            </w:pPr>
          </w:p>
        </w:tc>
        <w:tc>
          <w:tcPr>
            <w:tcW w:w="4820" w:type="dxa"/>
          </w:tcPr>
          <w:p w14:paraId="1BA8DE81" w14:textId="77777777" w:rsidR="00572E0C" w:rsidRPr="00B42EEF" w:rsidRDefault="00572E0C" w:rsidP="00572E0C">
            <w:pPr>
              <w:pStyle w:val="2"/>
              <w:rPr>
                <w:i/>
                <w:color w:val="000000"/>
                <w:sz w:val="20"/>
                <w:szCs w:val="20"/>
              </w:rPr>
            </w:pPr>
            <w:r w:rsidRPr="00B42EEF">
              <w:rPr>
                <w:i/>
                <w:color w:val="000000"/>
                <w:sz w:val="20"/>
                <w:szCs w:val="20"/>
              </w:rPr>
              <w:t>ПРЕДИСЛОВИЕ</w:t>
            </w:r>
          </w:p>
          <w:p w14:paraId="386CB250" w14:textId="77777777" w:rsidR="005577F3" w:rsidRPr="00B42EEF" w:rsidRDefault="005577F3" w:rsidP="00572E0C">
            <w:pPr>
              <w:rPr>
                <w:i/>
              </w:rPr>
            </w:pPr>
          </w:p>
        </w:tc>
      </w:tr>
      <w:tr w:rsidR="00572E0C" w:rsidRPr="00B42EEF" w14:paraId="68E03B5B" w14:textId="77777777" w:rsidTr="0075517F">
        <w:tc>
          <w:tcPr>
            <w:tcW w:w="4677" w:type="dxa"/>
          </w:tcPr>
          <w:p w14:paraId="7A5C9662" w14:textId="77777777" w:rsidR="00572E0C" w:rsidRPr="00C44EE6" w:rsidRDefault="00572E0C" w:rsidP="00225632">
            <w:pPr>
              <w:pStyle w:val="1"/>
              <w:ind w:firstLine="459"/>
              <w:jc w:val="both"/>
              <w:rPr>
                <w:b/>
                <w:sz w:val="24"/>
                <w:lang w:val="ky-KG"/>
              </w:rPr>
            </w:pPr>
            <w:r w:rsidRPr="00C44EE6">
              <w:rPr>
                <w:sz w:val="24"/>
                <w:lang w:val="ky-KG"/>
              </w:rPr>
              <w:t>Жыйнак статистика органдары тарабынан ар кандай мамлекеттик статистикалык байкоолорду, анын ичинде каттоолорду жана тандалма изилдөөлөрдү өткөрүү жолу менен ишканалардан, уюмдардан, калктан алын</w:t>
            </w:r>
            <w:r w:rsidR="00DD093B" w:rsidRPr="00C44EE6">
              <w:rPr>
                <w:sz w:val="24"/>
                <w:lang w:val="ky-KG"/>
              </w:rPr>
              <w:t xml:space="preserve">ган </w:t>
            </w:r>
            <w:r w:rsidRPr="00C44EE6">
              <w:rPr>
                <w:sz w:val="24"/>
                <w:lang w:val="ky-KG"/>
              </w:rPr>
              <w:t>маалыматтардын негизинде даярдалды.</w:t>
            </w:r>
          </w:p>
        </w:tc>
        <w:tc>
          <w:tcPr>
            <w:tcW w:w="4820" w:type="dxa"/>
          </w:tcPr>
          <w:p w14:paraId="4D02360C" w14:textId="77777777" w:rsidR="00572E0C" w:rsidRPr="00C44EE6" w:rsidRDefault="00572E0C" w:rsidP="006E08CA">
            <w:pPr>
              <w:ind w:firstLine="545"/>
              <w:jc w:val="both"/>
              <w:rPr>
                <w:i/>
                <w:sz w:val="24"/>
                <w:szCs w:val="24"/>
              </w:rPr>
            </w:pPr>
            <w:r w:rsidRPr="00C44EE6">
              <w:rPr>
                <w:i/>
                <w:sz w:val="24"/>
                <w:szCs w:val="24"/>
              </w:rPr>
              <w:t>Сборник подготовлен на основе данных, получаемых органами статистики от предприятий, организаций, населения путем проведения различных государственных статистических наблюдений, в том числе переписей и выборочных обследований.</w:t>
            </w:r>
          </w:p>
        </w:tc>
      </w:tr>
      <w:tr w:rsidR="00572E0C" w:rsidRPr="00B42EEF" w14:paraId="2CB270BF" w14:textId="77777777" w:rsidTr="0075517F">
        <w:tc>
          <w:tcPr>
            <w:tcW w:w="4677" w:type="dxa"/>
          </w:tcPr>
          <w:p w14:paraId="7D51F975" w14:textId="1EF226B8" w:rsidR="00572E0C" w:rsidRPr="00C44EE6" w:rsidRDefault="00572E0C" w:rsidP="00DC123A">
            <w:pPr>
              <w:ind w:firstLine="488"/>
              <w:jc w:val="both"/>
              <w:rPr>
                <w:i/>
                <w:sz w:val="24"/>
                <w:szCs w:val="24"/>
                <w:lang w:val="ky-KG"/>
              </w:rPr>
            </w:pPr>
            <w:r w:rsidRPr="00C44EE6">
              <w:rPr>
                <w:noProof/>
                <w:sz w:val="24"/>
                <w:szCs w:val="24"/>
                <w:lang w:val="ky-KG"/>
              </w:rPr>
              <w:t xml:space="preserve">Cтатистикалык жыйнакта </w:t>
            </w:r>
            <w:r w:rsidR="007B6BBB" w:rsidRPr="00C44EE6">
              <w:rPr>
                <w:noProof/>
                <w:sz w:val="24"/>
                <w:szCs w:val="24"/>
                <w:lang w:val="ky-KG"/>
              </w:rPr>
              <w:t>Жалал-Абад</w:t>
            </w:r>
            <w:r w:rsidR="000E6AF6" w:rsidRPr="00C44EE6">
              <w:rPr>
                <w:noProof/>
                <w:sz w:val="24"/>
                <w:szCs w:val="24"/>
                <w:lang w:val="ky-KG"/>
              </w:rPr>
              <w:t xml:space="preserve"> облусунуну</w:t>
            </w:r>
            <w:r w:rsidRPr="00C44EE6">
              <w:rPr>
                <w:noProof/>
                <w:sz w:val="24"/>
                <w:szCs w:val="24"/>
                <w:lang w:val="ky-KG"/>
              </w:rPr>
              <w:t>н 20</w:t>
            </w:r>
            <w:r w:rsidR="00225632" w:rsidRPr="00C44EE6">
              <w:rPr>
                <w:noProof/>
                <w:sz w:val="24"/>
                <w:szCs w:val="24"/>
              </w:rPr>
              <w:t>2</w:t>
            </w:r>
            <w:r w:rsidR="00BC3DE8" w:rsidRPr="00C44EE6">
              <w:rPr>
                <w:noProof/>
                <w:sz w:val="24"/>
                <w:szCs w:val="24"/>
                <w:lang w:val="ky-KG"/>
              </w:rPr>
              <w:t>4</w:t>
            </w:r>
            <w:r w:rsidRPr="00C44EE6">
              <w:rPr>
                <w:noProof/>
                <w:sz w:val="24"/>
                <w:szCs w:val="24"/>
                <w:lang w:val="ky-KG"/>
              </w:rPr>
              <w:t xml:space="preserve">-жылдагы социалдык-экономикалык </w:t>
            </w:r>
            <w:r w:rsidR="000E6AF6" w:rsidRPr="00C44EE6">
              <w:rPr>
                <w:noProof/>
                <w:sz w:val="24"/>
                <w:szCs w:val="24"/>
                <w:lang w:val="ky-KG"/>
              </w:rPr>
              <w:t>өнүгүүсүнүн</w:t>
            </w:r>
            <w:r w:rsidRPr="00C44EE6">
              <w:rPr>
                <w:noProof/>
                <w:sz w:val="24"/>
                <w:szCs w:val="24"/>
                <w:lang w:val="ky-KG"/>
              </w:rPr>
              <w:t xml:space="preserve"> мурунку жылдарга салыштырылган абалын м</w:t>
            </w:r>
            <w:r w:rsidR="00B42EEF" w:rsidRPr="00C44EE6">
              <w:rPr>
                <w:noProof/>
                <w:sz w:val="24"/>
                <w:szCs w:val="24"/>
                <w:lang w:val="ky-KG"/>
              </w:rPr>
              <w:t>ү</w:t>
            </w:r>
            <w:r w:rsidRPr="00C44EE6">
              <w:rPr>
                <w:noProof/>
                <w:sz w:val="24"/>
                <w:szCs w:val="24"/>
                <w:lang w:val="ky-KG"/>
              </w:rPr>
              <w:t>н</w:t>
            </w:r>
            <w:r w:rsidR="00B42EEF" w:rsidRPr="00C44EE6">
              <w:rPr>
                <w:noProof/>
                <w:sz w:val="24"/>
                <w:szCs w:val="24"/>
                <w:lang w:val="ky-KG"/>
              </w:rPr>
              <w:t>ө</w:t>
            </w:r>
            <w:r w:rsidRPr="00C44EE6">
              <w:rPr>
                <w:noProof/>
                <w:sz w:val="24"/>
                <w:szCs w:val="24"/>
                <w:lang w:val="ky-KG"/>
              </w:rPr>
              <w:t>зд</w:t>
            </w:r>
            <w:r w:rsidR="00B42EEF" w:rsidRPr="00C44EE6">
              <w:rPr>
                <w:noProof/>
                <w:sz w:val="24"/>
                <w:szCs w:val="24"/>
                <w:lang w:val="ky-KG"/>
              </w:rPr>
              <w:t>өө</w:t>
            </w:r>
            <w:r w:rsidRPr="00C44EE6">
              <w:rPr>
                <w:noProof/>
                <w:sz w:val="24"/>
                <w:szCs w:val="24"/>
                <w:lang w:val="ky-KG"/>
              </w:rPr>
              <w:t>ч</w:t>
            </w:r>
            <w:r w:rsidR="00B42EEF" w:rsidRPr="00C44EE6">
              <w:rPr>
                <w:noProof/>
                <w:sz w:val="24"/>
                <w:szCs w:val="24"/>
                <w:lang w:val="ky-KG"/>
              </w:rPr>
              <w:t>ү</w:t>
            </w:r>
            <w:r w:rsidRPr="00C44EE6">
              <w:rPr>
                <w:noProof/>
                <w:sz w:val="24"/>
                <w:szCs w:val="24"/>
                <w:lang w:val="ky-KG"/>
              </w:rPr>
              <w:t xml:space="preserve"> негизги к</w:t>
            </w:r>
            <w:r w:rsidR="00B42EEF" w:rsidRPr="00C44EE6">
              <w:rPr>
                <w:noProof/>
                <w:sz w:val="24"/>
                <w:szCs w:val="24"/>
                <w:lang w:val="ky-KG"/>
              </w:rPr>
              <w:t>ө</w:t>
            </w:r>
            <w:r w:rsidRPr="00C44EE6">
              <w:rPr>
                <w:noProof/>
                <w:sz w:val="24"/>
                <w:szCs w:val="24"/>
                <w:lang w:val="ky-KG"/>
              </w:rPr>
              <w:t>рс</w:t>
            </w:r>
            <w:r w:rsidR="00B42EEF" w:rsidRPr="00C44EE6">
              <w:rPr>
                <w:noProof/>
                <w:sz w:val="24"/>
                <w:szCs w:val="24"/>
                <w:lang w:val="ky-KG"/>
              </w:rPr>
              <w:t>ө</w:t>
            </w:r>
            <w:r w:rsidRPr="00C44EE6">
              <w:rPr>
                <w:noProof/>
                <w:sz w:val="24"/>
                <w:szCs w:val="24"/>
                <w:lang w:val="ky-KG"/>
              </w:rPr>
              <w:t>тк</w:t>
            </w:r>
            <w:r w:rsidR="00B42EEF" w:rsidRPr="00C44EE6">
              <w:rPr>
                <w:noProof/>
                <w:sz w:val="24"/>
                <w:szCs w:val="24"/>
                <w:lang w:val="ky-KG"/>
              </w:rPr>
              <w:t>ү</w:t>
            </w:r>
            <w:r w:rsidRPr="00C44EE6">
              <w:rPr>
                <w:noProof/>
                <w:sz w:val="24"/>
                <w:szCs w:val="24"/>
                <w:lang w:val="ky-KG"/>
              </w:rPr>
              <w:t>чт</w:t>
            </w:r>
            <w:r w:rsidR="00B42EEF" w:rsidRPr="00C44EE6">
              <w:rPr>
                <w:noProof/>
                <w:sz w:val="24"/>
                <w:szCs w:val="24"/>
                <w:lang w:val="ky-KG"/>
              </w:rPr>
              <w:t>ө</w:t>
            </w:r>
            <w:r w:rsidRPr="00C44EE6">
              <w:rPr>
                <w:noProof/>
                <w:sz w:val="24"/>
                <w:szCs w:val="24"/>
                <w:lang w:val="ky-KG"/>
              </w:rPr>
              <w:t>р камтылды.</w:t>
            </w:r>
          </w:p>
        </w:tc>
        <w:tc>
          <w:tcPr>
            <w:tcW w:w="4820" w:type="dxa"/>
          </w:tcPr>
          <w:p w14:paraId="4CDBF0D1" w14:textId="6E2C88E3" w:rsidR="00572E0C" w:rsidRPr="00C44EE6" w:rsidRDefault="00572E0C" w:rsidP="006E08CA">
            <w:pPr>
              <w:ind w:firstLine="545"/>
              <w:jc w:val="both"/>
              <w:rPr>
                <w:i/>
                <w:sz w:val="24"/>
                <w:szCs w:val="24"/>
              </w:rPr>
            </w:pPr>
            <w:r w:rsidRPr="00C44EE6">
              <w:rPr>
                <w:i/>
                <w:sz w:val="24"/>
                <w:szCs w:val="24"/>
              </w:rPr>
              <w:t xml:space="preserve">Содержит основные показатели, характеризующие </w:t>
            </w:r>
            <w:r w:rsidR="000E6AF6" w:rsidRPr="00C44EE6">
              <w:rPr>
                <w:i/>
                <w:sz w:val="24"/>
                <w:szCs w:val="24"/>
                <w:lang w:val="ky-KG"/>
              </w:rPr>
              <w:t>с</w:t>
            </w:r>
            <w:proofErr w:type="spellStart"/>
            <w:r w:rsidR="000E6AF6" w:rsidRPr="00C44EE6">
              <w:rPr>
                <w:i/>
                <w:sz w:val="24"/>
                <w:szCs w:val="24"/>
              </w:rPr>
              <w:t>оциально-</w:t>
            </w:r>
            <w:proofErr w:type="gramStart"/>
            <w:r w:rsidR="000E6AF6" w:rsidRPr="00C44EE6">
              <w:rPr>
                <w:i/>
                <w:sz w:val="24"/>
                <w:szCs w:val="24"/>
              </w:rPr>
              <w:t>экономичес</w:t>
            </w:r>
            <w:proofErr w:type="spellEnd"/>
            <w:r w:rsidR="00BC3DE8" w:rsidRPr="00C44EE6">
              <w:rPr>
                <w:i/>
                <w:sz w:val="24"/>
                <w:szCs w:val="24"/>
                <w:lang w:val="ky-KG"/>
              </w:rPr>
              <w:t>-</w:t>
            </w:r>
            <w:r w:rsidR="000E6AF6" w:rsidRPr="00C44EE6">
              <w:rPr>
                <w:i/>
                <w:sz w:val="24"/>
                <w:szCs w:val="24"/>
              </w:rPr>
              <w:t>кое</w:t>
            </w:r>
            <w:proofErr w:type="gramEnd"/>
            <w:r w:rsidR="000E6AF6" w:rsidRPr="00C44EE6">
              <w:rPr>
                <w:i/>
                <w:sz w:val="24"/>
                <w:szCs w:val="24"/>
              </w:rPr>
              <w:t xml:space="preserve"> развитие </w:t>
            </w:r>
            <w:r w:rsidR="007B6BBB" w:rsidRPr="00C44EE6">
              <w:rPr>
                <w:i/>
                <w:sz w:val="24"/>
                <w:szCs w:val="24"/>
                <w:lang w:val="ky-KG"/>
              </w:rPr>
              <w:t>Джалал-Абад</w:t>
            </w:r>
            <w:proofErr w:type="spellStart"/>
            <w:r w:rsidR="000E6AF6" w:rsidRPr="00C44EE6">
              <w:rPr>
                <w:i/>
                <w:sz w:val="24"/>
                <w:szCs w:val="24"/>
              </w:rPr>
              <w:t>ской</w:t>
            </w:r>
            <w:proofErr w:type="spellEnd"/>
            <w:r w:rsidR="000E6AF6" w:rsidRPr="00C44EE6">
              <w:rPr>
                <w:i/>
                <w:sz w:val="24"/>
                <w:szCs w:val="24"/>
              </w:rPr>
              <w:t xml:space="preserve"> области </w:t>
            </w:r>
            <w:r w:rsidRPr="00C44EE6">
              <w:rPr>
                <w:i/>
                <w:sz w:val="24"/>
                <w:szCs w:val="24"/>
              </w:rPr>
              <w:t>в 20</w:t>
            </w:r>
            <w:r w:rsidR="00225632" w:rsidRPr="00C44EE6">
              <w:rPr>
                <w:i/>
                <w:sz w:val="24"/>
                <w:szCs w:val="24"/>
              </w:rPr>
              <w:t>2</w:t>
            </w:r>
            <w:r w:rsidR="00BC3DE8" w:rsidRPr="00C44EE6">
              <w:rPr>
                <w:i/>
                <w:sz w:val="24"/>
                <w:szCs w:val="24"/>
                <w:lang w:val="ky-KG"/>
              </w:rPr>
              <w:t>4</w:t>
            </w:r>
            <w:r w:rsidRPr="00C44EE6">
              <w:rPr>
                <w:i/>
                <w:sz w:val="24"/>
                <w:szCs w:val="24"/>
              </w:rPr>
              <w:t>г. в сравнении с предыдущими годами.</w:t>
            </w:r>
          </w:p>
        </w:tc>
      </w:tr>
      <w:tr w:rsidR="00572E0C" w:rsidRPr="00B42EEF" w14:paraId="7B5DDF33" w14:textId="77777777" w:rsidTr="0075517F">
        <w:tc>
          <w:tcPr>
            <w:tcW w:w="4677" w:type="dxa"/>
          </w:tcPr>
          <w:p w14:paraId="549C1BAA" w14:textId="48C6CDA2" w:rsidR="00572E0C" w:rsidRPr="00C44EE6" w:rsidRDefault="00572E0C" w:rsidP="00DE7417">
            <w:pPr>
              <w:ind w:firstLine="488"/>
              <w:jc w:val="both"/>
              <w:rPr>
                <w:i/>
                <w:sz w:val="24"/>
                <w:szCs w:val="24"/>
                <w:highlight w:val="yellow"/>
                <w:lang w:val="ky-KG"/>
              </w:rPr>
            </w:pPr>
            <w:r w:rsidRPr="00C44EE6">
              <w:rPr>
                <w:noProof/>
                <w:sz w:val="24"/>
                <w:szCs w:val="24"/>
              </w:rPr>
              <w:t>Жыйнактын б</w:t>
            </w:r>
            <w:r w:rsidR="00B42EEF" w:rsidRPr="00C44EE6">
              <w:rPr>
                <w:noProof/>
                <w:sz w:val="24"/>
                <w:szCs w:val="24"/>
              </w:rPr>
              <w:t>ө</w:t>
            </w:r>
            <w:r w:rsidRPr="00C44EE6">
              <w:rPr>
                <w:noProof/>
                <w:sz w:val="24"/>
                <w:szCs w:val="24"/>
              </w:rPr>
              <w:t>л</w:t>
            </w:r>
            <w:r w:rsidR="00B42EEF" w:rsidRPr="00C44EE6">
              <w:rPr>
                <w:noProof/>
                <w:sz w:val="24"/>
                <w:szCs w:val="24"/>
              </w:rPr>
              <w:t>ү</w:t>
            </w:r>
            <w:r w:rsidRPr="00C44EE6">
              <w:rPr>
                <w:noProof/>
                <w:sz w:val="24"/>
                <w:szCs w:val="24"/>
                <w:lang w:val="ky-KG"/>
              </w:rPr>
              <w:t>кт</w:t>
            </w:r>
            <w:r w:rsidR="00B42EEF" w:rsidRPr="00C44EE6">
              <w:rPr>
                <w:noProof/>
                <w:sz w:val="24"/>
                <w:szCs w:val="24"/>
              </w:rPr>
              <w:t>ө</w:t>
            </w:r>
            <w:r w:rsidRPr="00C44EE6">
              <w:rPr>
                <w:noProof/>
                <w:sz w:val="24"/>
                <w:szCs w:val="24"/>
              </w:rPr>
              <w:t>р</w:t>
            </w:r>
            <w:r w:rsidR="00B42EEF" w:rsidRPr="00C44EE6">
              <w:rPr>
                <w:noProof/>
                <w:sz w:val="24"/>
                <w:szCs w:val="24"/>
              </w:rPr>
              <w:t>ү</w:t>
            </w:r>
            <w:r w:rsidRPr="00C44EE6">
              <w:rPr>
                <w:noProof/>
                <w:sz w:val="24"/>
                <w:szCs w:val="24"/>
              </w:rPr>
              <w:t xml:space="preserve"> экономика сектор</w:t>
            </w:r>
            <w:r w:rsidRPr="00C44EE6">
              <w:rPr>
                <w:noProof/>
                <w:sz w:val="24"/>
                <w:szCs w:val="24"/>
                <w:lang w:val="ky-KG"/>
              </w:rPr>
              <w:t>лор</w:t>
            </w:r>
            <w:r w:rsidRPr="00C44EE6">
              <w:rPr>
                <w:noProof/>
                <w:sz w:val="24"/>
                <w:szCs w:val="24"/>
              </w:rPr>
              <w:t xml:space="preserve">уна ылайык жайгаштырылды. </w:t>
            </w:r>
            <w:r w:rsidRPr="00C44EE6">
              <w:rPr>
                <w:sz w:val="24"/>
                <w:szCs w:val="24"/>
                <w:lang w:val="ky-KG"/>
              </w:rPr>
              <w:t>С</w:t>
            </w:r>
            <w:proofErr w:type="spellStart"/>
            <w:r w:rsidRPr="00C44EE6">
              <w:rPr>
                <w:sz w:val="24"/>
                <w:szCs w:val="24"/>
              </w:rPr>
              <w:t>оциал</w:t>
            </w:r>
            <w:proofErr w:type="spellEnd"/>
            <w:r w:rsidRPr="00C44EE6">
              <w:rPr>
                <w:sz w:val="24"/>
                <w:szCs w:val="24"/>
                <w:lang w:val="ky-KG"/>
              </w:rPr>
              <w:t xml:space="preserve">дык </w:t>
            </w:r>
            <w:r w:rsidRPr="00C44EE6">
              <w:rPr>
                <w:sz w:val="24"/>
                <w:szCs w:val="24"/>
              </w:rPr>
              <w:t>сектор</w:t>
            </w:r>
            <w:r w:rsidRPr="00C44EE6">
              <w:rPr>
                <w:sz w:val="24"/>
                <w:szCs w:val="24"/>
                <w:lang w:val="ky-KG"/>
              </w:rPr>
              <w:t>до калк, анын жумуш менен камсыздалышы жана жашоо деңгээли жөнүндө расмий статистикалык маалымат берилди. Калктын жашоо-турмуш шарттары, калктын саламат</w:t>
            </w:r>
            <w:r w:rsidR="00795EBD" w:rsidRPr="00C44EE6">
              <w:rPr>
                <w:sz w:val="24"/>
                <w:szCs w:val="24"/>
                <w:lang w:val="ky-KG"/>
              </w:rPr>
              <w:t>-</w:t>
            </w:r>
            <w:r w:rsidRPr="00C44EE6">
              <w:rPr>
                <w:sz w:val="24"/>
                <w:szCs w:val="24"/>
                <w:lang w:val="ky-KG"/>
              </w:rPr>
              <w:t>тыгынын жана медициналык жактан тейлөө абалы, билим берүү, туризм жана эс алуу, ошондой эле коомдук жана диний бири</w:t>
            </w:r>
            <w:r w:rsidR="00DE7417" w:rsidRPr="00C44EE6">
              <w:rPr>
                <w:sz w:val="24"/>
                <w:szCs w:val="24"/>
                <w:lang w:val="ky-KG"/>
              </w:rPr>
              <w:t>кмелер</w:t>
            </w:r>
            <w:r w:rsidRPr="00C44EE6">
              <w:rPr>
                <w:sz w:val="24"/>
                <w:szCs w:val="24"/>
                <w:lang w:val="ky-KG"/>
              </w:rPr>
              <w:t xml:space="preserve"> жана уюмдар жөнүндө маалы</w:t>
            </w:r>
            <w:r w:rsidR="00795EBD" w:rsidRPr="00C44EE6">
              <w:rPr>
                <w:sz w:val="24"/>
                <w:szCs w:val="24"/>
                <w:lang w:val="ky-KG"/>
              </w:rPr>
              <w:t>-</w:t>
            </w:r>
            <w:r w:rsidRPr="00C44EE6">
              <w:rPr>
                <w:sz w:val="24"/>
                <w:szCs w:val="24"/>
                <w:lang w:val="ky-KG"/>
              </w:rPr>
              <w:t>маттар басылат. Негизги макроэкономика</w:t>
            </w:r>
            <w:r w:rsidR="006E08CA" w:rsidRPr="00C44EE6">
              <w:rPr>
                <w:sz w:val="24"/>
                <w:szCs w:val="24"/>
                <w:lang w:val="ky-KG"/>
              </w:rPr>
              <w:t>-</w:t>
            </w:r>
            <w:r w:rsidRPr="00C44EE6">
              <w:rPr>
                <w:sz w:val="24"/>
                <w:szCs w:val="24"/>
                <w:lang w:val="ky-KG"/>
              </w:rPr>
              <w:t>лык көрсөткүчтөр келтирилди. Реалдуу</w:t>
            </w:r>
            <w:r w:rsidR="007D3968" w:rsidRPr="00C44EE6">
              <w:rPr>
                <w:sz w:val="24"/>
                <w:szCs w:val="24"/>
                <w:lang w:val="ky-KG"/>
              </w:rPr>
              <w:t xml:space="preserve"> (туруктуу)</w:t>
            </w:r>
            <w:r w:rsidRPr="00C44EE6">
              <w:rPr>
                <w:sz w:val="24"/>
                <w:szCs w:val="24"/>
                <w:lang w:val="ky-KG"/>
              </w:rPr>
              <w:t xml:space="preserve"> сектор экономикалык ишмер</w:t>
            </w:r>
            <w:r w:rsidR="006E08CA" w:rsidRPr="00C44EE6">
              <w:rPr>
                <w:sz w:val="24"/>
                <w:szCs w:val="24"/>
                <w:lang w:val="ky-KG"/>
              </w:rPr>
              <w:t>-</w:t>
            </w:r>
            <w:r w:rsidRPr="00C44EE6">
              <w:rPr>
                <w:sz w:val="24"/>
                <w:szCs w:val="24"/>
                <w:lang w:val="ky-KG"/>
              </w:rPr>
              <w:t>диктин айрым түрлөрү-өнөр жай, айыл чарбасы, инвестициялар, курулуш жана башка кызмат көрсөтүүчү тармактар боюнча маалыматтарды мүнөздөйт.</w:t>
            </w:r>
            <w:r w:rsidR="00A94982" w:rsidRPr="00C44EE6">
              <w:rPr>
                <w:sz w:val="24"/>
                <w:szCs w:val="24"/>
                <w:lang w:val="ky-KG"/>
              </w:rPr>
              <w:t xml:space="preserve"> </w:t>
            </w:r>
            <w:r w:rsidRPr="00C44EE6">
              <w:rPr>
                <w:sz w:val="24"/>
                <w:szCs w:val="24"/>
                <w:lang w:val="ky-KG"/>
              </w:rPr>
              <w:t>Улуттук эсептер системасы рыноктук экономиканын түзүлүшүнүн жана иштешинин макроэкономикалык аспекти</w:t>
            </w:r>
            <w:r w:rsidR="00795EBD" w:rsidRPr="00C44EE6">
              <w:rPr>
                <w:sz w:val="24"/>
                <w:szCs w:val="24"/>
                <w:lang w:val="ky-KG"/>
              </w:rPr>
              <w:t>-</w:t>
            </w:r>
            <w:r w:rsidRPr="00C44EE6">
              <w:rPr>
                <w:sz w:val="24"/>
                <w:szCs w:val="24"/>
                <w:lang w:val="ky-KG"/>
              </w:rPr>
              <w:t>лерин мүнөздөөчү көрсөткүчтөрдү кам</w:t>
            </w:r>
            <w:r w:rsidR="00795EBD" w:rsidRPr="00C44EE6">
              <w:rPr>
                <w:sz w:val="24"/>
                <w:szCs w:val="24"/>
                <w:lang w:val="ky-KG"/>
              </w:rPr>
              <w:t>-</w:t>
            </w:r>
            <w:r w:rsidRPr="00C44EE6">
              <w:rPr>
                <w:sz w:val="24"/>
                <w:szCs w:val="24"/>
                <w:lang w:val="ky-KG"/>
              </w:rPr>
              <w:t xml:space="preserve">тыйт. Мамлекеттик жана финансылык секторлордо мамлекеттик финансылар, акча жүгүртүүлөр жана кредит берүүлөр жөнүндө маалыматтар келтирилди. Тышкы сектордо тышкы экономикалык ишмердик, </w:t>
            </w:r>
            <w:r w:rsidR="007B6BBB" w:rsidRPr="00C44EE6">
              <w:rPr>
                <w:sz w:val="24"/>
                <w:szCs w:val="24"/>
                <w:lang w:val="ky-KG"/>
              </w:rPr>
              <w:t>Жалал-Абад</w:t>
            </w:r>
            <w:r w:rsidR="000E6AF6" w:rsidRPr="00C44EE6">
              <w:rPr>
                <w:sz w:val="24"/>
                <w:szCs w:val="24"/>
                <w:lang w:val="ky-KG"/>
              </w:rPr>
              <w:t xml:space="preserve"> облусунун</w:t>
            </w:r>
            <w:r w:rsidRPr="00C44EE6">
              <w:rPr>
                <w:sz w:val="24"/>
                <w:szCs w:val="24"/>
                <w:lang w:val="ky-KG"/>
              </w:rPr>
              <w:t xml:space="preserve"> экспорту</w:t>
            </w:r>
            <w:r w:rsidR="00795EBD" w:rsidRPr="00C44EE6">
              <w:rPr>
                <w:sz w:val="24"/>
                <w:szCs w:val="24"/>
                <w:lang w:val="ky-KG"/>
              </w:rPr>
              <w:t>нун</w:t>
            </w:r>
            <w:r w:rsidRPr="00C44EE6">
              <w:rPr>
                <w:sz w:val="24"/>
                <w:szCs w:val="24"/>
                <w:lang w:val="ky-KG"/>
              </w:rPr>
              <w:t xml:space="preserve"> жана импортунун түзүмү жөнүндө маалыматтар берилди.</w:t>
            </w:r>
            <w:r w:rsidRPr="00C44EE6">
              <w:rPr>
                <w:noProof/>
                <w:sz w:val="24"/>
                <w:szCs w:val="24"/>
                <w:lang w:val="ky-KG"/>
              </w:rPr>
              <w:t xml:space="preserve"> </w:t>
            </w:r>
          </w:p>
        </w:tc>
        <w:tc>
          <w:tcPr>
            <w:tcW w:w="4820" w:type="dxa"/>
          </w:tcPr>
          <w:p w14:paraId="03DE1F27" w14:textId="05FCCD4C" w:rsidR="00572E0C" w:rsidRPr="00C44EE6" w:rsidRDefault="00572E0C" w:rsidP="006E08CA">
            <w:pPr>
              <w:ind w:firstLine="545"/>
              <w:jc w:val="both"/>
              <w:rPr>
                <w:i/>
                <w:sz w:val="24"/>
                <w:szCs w:val="24"/>
                <w:highlight w:val="yellow"/>
              </w:rPr>
            </w:pPr>
            <w:r w:rsidRPr="00C44EE6">
              <w:rPr>
                <w:i/>
                <w:sz w:val="24"/>
                <w:szCs w:val="24"/>
              </w:rPr>
              <w:t xml:space="preserve">Разделы сборника расположены в соответствии с секторами экономики. В социальном секторе представлена официальная статистическая информация о населении, его занятости и уровне жизни. Публикуются данные о жилищных условиях, состоянии здоровья и медицинском обслуживании населения, образовании и культуре, туризме и отдыхе, а также общественных и религиозных объединениях и организациях. Приведены основные макроэкономические показатели. Реальный сектор характеризуют данные по отдельным видам экономической деятельности-промышленности, сельскому хозяйству, инвестициям, строительству и другим отраслям, оказывающим услуги. Система национальных счетов содержит показатели, характеризующие макроэкономические аспекты формирования и функционирования рыночной экономики. В государственном и финансовом секторах приведены данные о государственных финансах, денежном обращении и кредитовании. Внешний сектор представлен данными о внешнеэкономической деятельности, структуре экспорта и импорта </w:t>
            </w:r>
            <w:r w:rsidR="007B6BBB" w:rsidRPr="00C44EE6">
              <w:rPr>
                <w:i/>
                <w:sz w:val="24"/>
                <w:szCs w:val="24"/>
                <w:lang w:val="ky-KG"/>
              </w:rPr>
              <w:t>Джалал-Абад</w:t>
            </w:r>
            <w:r w:rsidR="000E6AF6" w:rsidRPr="00C44EE6">
              <w:rPr>
                <w:i/>
                <w:sz w:val="24"/>
                <w:szCs w:val="24"/>
                <w:lang w:val="ky-KG"/>
              </w:rPr>
              <w:t>ской области</w:t>
            </w:r>
            <w:r w:rsidRPr="00C44EE6">
              <w:rPr>
                <w:i/>
                <w:sz w:val="24"/>
                <w:szCs w:val="24"/>
              </w:rPr>
              <w:t xml:space="preserve">. </w:t>
            </w:r>
          </w:p>
        </w:tc>
      </w:tr>
      <w:tr w:rsidR="00572E0C" w:rsidRPr="00B42EEF" w14:paraId="6F564981" w14:textId="77777777" w:rsidTr="0075517F">
        <w:tc>
          <w:tcPr>
            <w:tcW w:w="4677" w:type="dxa"/>
          </w:tcPr>
          <w:p w14:paraId="5B48A508" w14:textId="59CBB7B5" w:rsidR="00572E0C" w:rsidRPr="00C44EE6" w:rsidRDefault="00572E0C" w:rsidP="006E08CA">
            <w:pPr>
              <w:ind w:firstLine="488"/>
              <w:jc w:val="both"/>
              <w:rPr>
                <w:i/>
                <w:sz w:val="24"/>
                <w:szCs w:val="24"/>
                <w:highlight w:val="yellow"/>
                <w:lang w:val="ky-KG"/>
              </w:rPr>
            </w:pPr>
            <w:r w:rsidRPr="00C44EE6">
              <w:rPr>
                <w:sz w:val="24"/>
                <w:szCs w:val="24"/>
                <w:lang w:val="ky-KG"/>
              </w:rPr>
              <w:t>Социалдык-экономикалык көрсөткүч</w:t>
            </w:r>
            <w:r w:rsidR="006E08CA" w:rsidRPr="00C44EE6">
              <w:rPr>
                <w:sz w:val="24"/>
                <w:szCs w:val="24"/>
                <w:lang w:val="ky-KG"/>
              </w:rPr>
              <w:t>-</w:t>
            </w:r>
            <w:r w:rsidRPr="00C44EE6">
              <w:rPr>
                <w:sz w:val="24"/>
                <w:szCs w:val="24"/>
                <w:lang w:val="ky-KG"/>
              </w:rPr>
              <w:t>төр экономикалык ишмердиктин түрлөрүнүн мамлекеттик классифи</w:t>
            </w:r>
            <w:r w:rsidR="00B65859" w:rsidRPr="00C44EE6">
              <w:rPr>
                <w:sz w:val="24"/>
                <w:szCs w:val="24"/>
                <w:lang w:val="ky-KG"/>
              </w:rPr>
              <w:t>-</w:t>
            </w:r>
            <w:r w:rsidRPr="00C44EE6">
              <w:rPr>
                <w:sz w:val="24"/>
                <w:szCs w:val="24"/>
                <w:lang w:val="ky-KG"/>
              </w:rPr>
              <w:t xml:space="preserve">каторуна (ЭИМК 3) ылайык экономикалык ишмердиктин түрлөрүнүн бөлүнүшүндө келтирилди. </w:t>
            </w:r>
          </w:p>
        </w:tc>
        <w:tc>
          <w:tcPr>
            <w:tcW w:w="4820" w:type="dxa"/>
          </w:tcPr>
          <w:p w14:paraId="0CF00757" w14:textId="77537FC1" w:rsidR="00572E0C" w:rsidRPr="00C44EE6" w:rsidRDefault="00572E0C" w:rsidP="006E08CA">
            <w:pPr>
              <w:ind w:firstLine="545"/>
              <w:jc w:val="both"/>
              <w:rPr>
                <w:i/>
                <w:sz w:val="24"/>
                <w:szCs w:val="24"/>
                <w:highlight w:val="yellow"/>
              </w:rPr>
            </w:pPr>
            <w:r w:rsidRPr="00C44EE6">
              <w:rPr>
                <w:i/>
                <w:sz w:val="24"/>
                <w:szCs w:val="24"/>
              </w:rPr>
              <w:t xml:space="preserve">Социально-экономические показатели в разрезе видов экономической деятельности приведены в соответствии с Государственным классификатором видов экономической деятельности (ГКЭД 3). </w:t>
            </w:r>
          </w:p>
        </w:tc>
      </w:tr>
      <w:tr w:rsidR="00572E0C" w:rsidRPr="00B42EEF" w14:paraId="0F28DFBD" w14:textId="77777777" w:rsidTr="0075517F">
        <w:tc>
          <w:tcPr>
            <w:tcW w:w="4677" w:type="dxa"/>
          </w:tcPr>
          <w:p w14:paraId="5C4EBCD8" w14:textId="1EB8AB77" w:rsidR="00572E0C" w:rsidRPr="00C44EE6" w:rsidRDefault="00572E0C" w:rsidP="006E08CA">
            <w:pPr>
              <w:ind w:firstLine="488"/>
              <w:jc w:val="both"/>
              <w:rPr>
                <w:i/>
                <w:sz w:val="24"/>
                <w:szCs w:val="24"/>
                <w:highlight w:val="yellow"/>
                <w:lang w:val="ky-KG"/>
              </w:rPr>
            </w:pPr>
            <w:r w:rsidRPr="00C44EE6">
              <w:rPr>
                <w:noProof/>
                <w:sz w:val="24"/>
                <w:szCs w:val="24"/>
                <w:lang w:val="ky-KG"/>
              </w:rPr>
              <w:t>Мурда</w:t>
            </w:r>
            <w:r w:rsidR="00F8188A" w:rsidRPr="00C44EE6">
              <w:rPr>
                <w:noProof/>
                <w:sz w:val="24"/>
                <w:szCs w:val="24"/>
                <w:lang w:val="ky-KG"/>
              </w:rPr>
              <w:t xml:space="preserve"> </w:t>
            </w:r>
            <w:r w:rsidRPr="00C44EE6">
              <w:rPr>
                <w:noProof/>
                <w:sz w:val="24"/>
                <w:szCs w:val="24"/>
                <w:lang w:val="ky-KG"/>
              </w:rPr>
              <w:t>жарыяланган маалыматтарга салыштыр</w:t>
            </w:r>
            <w:r w:rsidR="007D3968" w:rsidRPr="00C44EE6">
              <w:rPr>
                <w:noProof/>
                <w:sz w:val="24"/>
                <w:szCs w:val="24"/>
                <w:lang w:val="ky-KG"/>
              </w:rPr>
              <w:t>мал</w:t>
            </w:r>
            <w:r w:rsidRPr="00C44EE6">
              <w:rPr>
                <w:noProof/>
                <w:sz w:val="24"/>
                <w:szCs w:val="24"/>
                <w:lang w:val="ky-KG"/>
              </w:rPr>
              <w:t>уу</w:t>
            </w:r>
            <w:r w:rsidR="00B65859" w:rsidRPr="00C44EE6">
              <w:rPr>
                <w:noProof/>
                <w:sz w:val="24"/>
                <w:szCs w:val="24"/>
                <w:lang w:val="ky-KG"/>
              </w:rPr>
              <w:t xml:space="preserve"> </w:t>
            </w:r>
            <w:r w:rsidRPr="00C44EE6">
              <w:rPr>
                <w:noProof/>
                <w:sz w:val="24"/>
                <w:szCs w:val="24"/>
                <w:lang w:val="ky-KG"/>
              </w:rPr>
              <w:t>20</w:t>
            </w:r>
            <w:r w:rsidR="00C6188B" w:rsidRPr="00C44EE6">
              <w:rPr>
                <w:noProof/>
                <w:sz w:val="24"/>
                <w:szCs w:val="24"/>
              </w:rPr>
              <w:t>2</w:t>
            </w:r>
            <w:r w:rsidR="006E08CA" w:rsidRPr="00C44EE6">
              <w:rPr>
                <w:noProof/>
                <w:sz w:val="24"/>
                <w:szCs w:val="24"/>
                <w:lang w:val="ky-KG"/>
              </w:rPr>
              <w:t>3</w:t>
            </w:r>
            <w:r w:rsidRPr="00C44EE6">
              <w:rPr>
                <w:noProof/>
                <w:sz w:val="24"/>
                <w:szCs w:val="24"/>
                <w:lang w:val="ky-KG"/>
              </w:rPr>
              <w:t>-ж</w:t>
            </w:r>
            <w:r w:rsidR="007D3968" w:rsidRPr="00C44EE6">
              <w:rPr>
                <w:noProof/>
                <w:sz w:val="24"/>
                <w:szCs w:val="24"/>
                <w:lang w:val="ky-KG"/>
              </w:rPr>
              <w:t>ылдын</w:t>
            </w:r>
            <w:r w:rsidRPr="00C44EE6">
              <w:rPr>
                <w:noProof/>
                <w:sz w:val="24"/>
                <w:szCs w:val="24"/>
                <w:lang w:val="ky-KG"/>
              </w:rPr>
              <w:t xml:space="preserve"> к</w:t>
            </w:r>
            <w:r w:rsidR="00B42EEF" w:rsidRPr="00C44EE6">
              <w:rPr>
                <w:noProof/>
                <w:sz w:val="24"/>
                <w:szCs w:val="24"/>
                <w:lang w:val="ky-KG"/>
              </w:rPr>
              <w:t>ө</w:t>
            </w:r>
            <w:r w:rsidRPr="00C44EE6">
              <w:rPr>
                <w:noProof/>
                <w:sz w:val="24"/>
                <w:szCs w:val="24"/>
                <w:lang w:val="ky-KG"/>
              </w:rPr>
              <w:t>рс</w:t>
            </w:r>
            <w:r w:rsidR="00B42EEF" w:rsidRPr="00C44EE6">
              <w:rPr>
                <w:noProof/>
                <w:sz w:val="24"/>
                <w:szCs w:val="24"/>
                <w:lang w:val="ky-KG"/>
              </w:rPr>
              <w:t>ө</w:t>
            </w:r>
            <w:r w:rsidRPr="00C44EE6">
              <w:rPr>
                <w:noProof/>
                <w:sz w:val="24"/>
                <w:szCs w:val="24"/>
                <w:lang w:val="ky-KG"/>
              </w:rPr>
              <w:t>т</w:t>
            </w:r>
            <w:r w:rsidR="00B65859" w:rsidRPr="00C44EE6">
              <w:rPr>
                <w:noProof/>
                <w:sz w:val="24"/>
                <w:szCs w:val="24"/>
                <w:lang w:val="ky-KG"/>
              </w:rPr>
              <w:t>-</w:t>
            </w:r>
            <w:r w:rsidRPr="00C44EE6">
              <w:rPr>
                <w:noProof/>
                <w:sz w:val="24"/>
                <w:szCs w:val="24"/>
                <w:lang w:val="ky-KG"/>
              </w:rPr>
              <w:t>к</w:t>
            </w:r>
            <w:r w:rsidR="00B42EEF" w:rsidRPr="00C44EE6">
              <w:rPr>
                <w:noProof/>
                <w:sz w:val="24"/>
                <w:szCs w:val="24"/>
                <w:lang w:val="ky-KG"/>
              </w:rPr>
              <w:t>ү</w:t>
            </w:r>
            <w:r w:rsidRPr="00C44EE6">
              <w:rPr>
                <w:noProof/>
                <w:sz w:val="24"/>
                <w:szCs w:val="24"/>
                <w:lang w:val="ky-KG"/>
              </w:rPr>
              <w:t>чт</w:t>
            </w:r>
            <w:r w:rsidR="00B42EEF" w:rsidRPr="00C44EE6">
              <w:rPr>
                <w:noProof/>
                <w:sz w:val="24"/>
                <w:szCs w:val="24"/>
                <w:lang w:val="ky-KG"/>
              </w:rPr>
              <w:t>ө</w:t>
            </w:r>
            <w:r w:rsidRPr="00C44EE6">
              <w:rPr>
                <w:noProof/>
                <w:sz w:val="24"/>
                <w:szCs w:val="24"/>
                <w:lang w:val="ky-KG"/>
              </w:rPr>
              <w:t>р</w:t>
            </w:r>
            <w:r w:rsidR="00B42EEF" w:rsidRPr="00C44EE6">
              <w:rPr>
                <w:noProof/>
                <w:sz w:val="24"/>
                <w:szCs w:val="24"/>
                <w:lang w:val="ky-KG"/>
              </w:rPr>
              <w:t>ү</w:t>
            </w:r>
            <w:r w:rsidRPr="00C44EE6">
              <w:rPr>
                <w:noProof/>
                <w:sz w:val="24"/>
                <w:szCs w:val="24"/>
                <w:lang w:val="ky-KG"/>
              </w:rPr>
              <w:t xml:space="preserve"> такталды, 20</w:t>
            </w:r>
            <w:r w:rsidR="00225632" w:rsidRPr="00C44EE6">
              <w:rPr>
                <w:noProof/>
                <w:sz w:val="24"/>
                <w:szCs w:val="24"/>
              </w:rPr>
              <w:t>2</w:t>
            </w:r>
            <w:r w:rsidR="006E08CA" w:rsidRPr="00C44EE6">
              <w:rPr>
                <w:noProof/>
                <w:sz w:val="24"/>
                <w:szCs w:val="24"/>
                <w:lang w:val="ky-KG"/>
              </w:rPr>
              <w:t>4</w:t>
            </w:r>
            <w:r w:rsidRPr="00C44EE6">
              <w:rPr>
                <w:noProof/>
                <w:sz w:val="24"/>
                <w:szCs w:val="24"/>
                <w:lang w:val="ky-KG"/>
              </w:rPr>
              <w:t xml:space="preserve">-жыл </w:t>
            </w:r>
            <w:r w:rsidRPr="00C44EE6">
              <w:rPr>
                <w:sz w:val="24"/>
                <w:szCs w:val="24"/>
                <w:lang w:val="ky-KG"/>
              </w:rPr>
              <w:t>ү</w:t>
            </w:r>
            <w:r w:rsidRPr="00C44EE6">
              <w:rPr>
                <w:noProof/>
                <w:sz w:val="24"/>
                <w:szCs w:val="24"/>
                <w:lang w:val="ky-KG"/>
              </w:rPr>
              <w:t>ч</w:t>
            </w:r>
            <w:r w:rsidRPr="00C44EE6">
              <w:rPr>
                <w:sz w:val="24"/>
                <w:szCs w:val="24"/>
                <w:lang w:val="ky-KG"/>
              </w:rPr>
              <w:t>ү</w:t>
            </w:r>
            <w:r w:rsidRPr="00C44EE6">
              <w:rPr>
                <w:noProof/>
                <w:sz w:val="24"/>
                <w:szCs w:val="24"/>
                <w:lang w:val="ky-KG"/>
              </w:rPr>
              <w:t>н к</w:t>
            </w:r>
            <w:r w:rsidR="00B42EEF" w:rsidRPr="00C44EE6">
              <w:rPr>
                <w:noProof/>
                <w:sz w:val="24"/>
                <w:szCs w:val="24"/>
                <w:lang w:val="ky-KG"/>
              </w:rPr>
              <w:t>ө</w:t>
            </w:r>
            <w:r w:rsidRPr="00C44EE6">
              <w:rPr>
                <w:noProof/>
                <w:sz w:val="24"/>
                <w:szCs w:val="24"/>
                <w:lang w:val="ky-KG"/>
              </w:rPr>
              <w:t>рс</w:t>
            </w:r>
            <w:r w:rsidR="00B42EEF" w:rsidRPr="00C44EE6">
              <w:rPr>
                <w:noProof/>
                <w:sz w:val="24"/>
                <w:szCs w:val="24"/>
                <w:lang w:val="ky-KG"/>
              </w:rPr>
              <w:t>ө</w:t>
            </w:r>
            <w:r w:rsidRPr="00C44EE6">
              <w:rPr>
                <w:noProof/>
                <w:sz w:val="24"/>
                <w:szCs w:val="24"/>
                <w:lang w:val="ky-KG"/>
              </w:rPr>
              <w:t>тк</w:t>
            </w:r>
            <w:r w:rsidR="00B42EEF" w:rsidRPr="00C44EE6">
              <w:rPr>
                <w:noProof/>
                <w:sz w:val="24"/>
                <w:szCs w:val="24"/>
                <w:lang w:val="ky-KG"/>
              </w:rPr>
              <w:t>ү</w:t>
            </w:r>
            <w:r w:rsidRPr="00C44EE6">
              <w:rPr>
                <w:noProof/>
                <w:sz w:val="24"/>
                <w:szCs w:val="24"/>
                <w:lang w:val="ky-KG"/>
              </w:rPr>
              <w:t>чт</w:t>
            </w:r>
            <w:r w:rsidR="00B42EEF" w:rsidRPr="00C44EE6">
              <w:rPr>
                <w:noProof/>
                <w:sz w:val="24"/>
                <w:szCs w:val="24"/>
                <w:lang w:val="ky-KG"/>
              </w:rPr>
              <w:t>ө</w:t>
            </w:r>
            <w:r w:rsidRPr="00C44EE6">
              <w:rPr>
                <w:noProof/>
                <w:sz w:val="24"/>
                <w:szCs w:val="24"/>
                <w:lang w:val="ky-KG"/>
              </w:rPr>
              <w:t>р болжолдуу болуп саналат.</w:t>
            </w:r>
          </w:p>
        </w:tc>
        <w:tc>
          <w:tcPr>
            <w:tcW w:w="4820" w:type="dxa"/>
          </w:tcPr>
          <w:p w14:paraId="53AF825C" w14:textId="7EB50693" w:rsidR="00572E0C" w:rsidRPr="00C44EE6" w:rsidRDefault="00572E0C" w:rsidP="006E08CA">
            <w:pPr>
              <w:ind w:firstLine="545"/>
              <w:jc w:val="both"/>
              <w:rPr>
                <w:i/>
                <w:sz w:val="24"/>
                <w:szCs w:val="24"/>
                <w:highlight w:val="yellow"/>
              </w:rPr>
            </w:pPr>
            <w:r w:rsidRPr="00C44EE6">
              <w:rPr>
                <w:i/>
                <w:sz w:val="24"/>
                <w:szCs w:val="24"/>
              </w:rPr>
              <w:t>Показатели за 20</w:t>
            </w:r>
            <w:r w:rsidR="00C6188B" w:rsidRPr="00C44EE6">
              <w:rPr>
                <w:i/>
                <w:sz w:val="24"/>
                <w:szCs w:val="24"/>
              </w:rPr>
              <w:t>2</w:t>
            </w:r>
            <w:r w:rsidR="006E08CA" w:rsidRPr="00C44EE6">
              <w:rPr>
                <w:i/>
                <w:sz w:val="24"/>
                <w:szCs w:val="24"/>
                <w:lang w:val="ky-KG"/>
              </w:rPr>
              <w:t>3</w:t>
            </w:r>
            <w:r w:rsidRPr="00C44EE6">
              <w:rPr>
                <w:i/>
                <w:sz w:val="24"/>
                <w:szCs w:val="24"/>
              </w:rPr>
              <w:t>г. уточнены по сравнению с опубликованными ранее, за 20</w:t>
            </w:r>
            <w:r w:rsidR="00225632" w:rsidRPr="00C44EE6">
              <w:rPr>
                <w:i/>
                <w:sz w:val="24"/>
                <w:szCs w:val="24"/>
              </w:rPr>
              <w:t>2</w:t>
            </w:r>
            <w:r w:rsidR="006E08CA" w:rsidRPr="00C44EE6">
              <w:rPr>
                <w:i/>
                <w:sz w:val="24"/>
                <w:szCs w:val="24"/>
                <w:lang w:val="ky-KG"/>
              </w:rPr>
              <w:t>4</w:t>
            </w:r>
            <w:r w:rsidRPr="00C44EE6">
              <w:rPr>
                <w:i/>
                <w:sz w:val="24"/>
                <w:szCs w:val="24"/>
              </w:rPr>
              <w:t>г. являются предварительными.</w:t>
            </w:r>
          </w:p>
        </w:tc>
      </w:tr>
      <w:tr w:rsidR="00572E0C" w:rsidRPr="00B42EEF" w14:paraId="7DE53C99" w14:textId="77777777" w:rsidTr="0075517F">
        <w:tc>
          <w:tcPr>
            <w:tcW w:w="4677" w:type="dxa"/>
          </w:tcPr>
          <w:p w14:paraId="2E1C00BF" w14:textId="77777777" w:rsidR="00572E0C" w:rsidRPr="00C44EE6" w:rsidRDefault="00572E0C" w:rsidP="006E08CA">
            <w:pPr>
              <w:ind w:firstLine="488"/>
              <w:jc w:val="both"/>
              <w:rPr>
                <w:i/>
                <w:sz w:val="24"/>
                <w:szCs w:val="24"/>
                <w:lang w:val="ky-KG"/>
              </w:rPr>
            </w:pPr>
            <w:r w:rsidRPr="00C44EE6">
              <w:rPr>
                <w:noProof/>
                <w:sz w:val="24"/>
                <w:szCs w:val="24"/>
                <w:lang w:val="ky-KG"/>
              </w:rPr>
              <w:t>Кыргыз Республикасынын экономикасынын жана социалдык ч</w:t>
            </w:r>
            <w:r w:rsidR="00B42EEF" w:rsidRPr="00C44EE6">
              <w:rPr>
                <w:noProof/>
                <w:sz w:val="24"/>
                <w:szCs w:val="24"/>
                <w:lang w:val="ky-KG"/>
              </w:rPr>
              <w:t>ө</w:t>
            </w:r>
            <w:r w:rsidRPr="00C44EE6">
              <w:rPr>
                <w:noProof/>
                <w:sz w:val="24"/>
                <w:szCs w:val="24"/>
                <w:lang w:val="ky-KG"/>
              </w:rPr>
              <w:t>йр</w:t>
            </w:r>
            <w:r w:rsidR="00B42EEF" w:rsidRPr="00C44EE6">
              <w:rPr>
                <w:noProof/>
                <w:sz w:val="24"/>
                <w:szCs w:val="24"/>
                <w:lang w:val="ky-KG"/>
              </w:rPr>
              <w:t>ө</w:t>
            </w:r>
            <w:r w:rsidRPr="00C44EE6">
              <w:rPr>
                <w:noProof/>
                <w:sz w:val="24"/>
                <w:szCs w:val="24"/>
                <w:lang w:val="ky-KG"/>
              </w:rPr>
              <w:t>с</w:t>
            </w:r>
            <w:r w:rsidR="00B42EEF" w:rsidRPr="00C44EE6">
              <w:rPr>
                <w:noProof/>
                <w:sz w:val="24"/>
                <w:szCs w:val="24"/>
                <w:lang w:val="ky-KG"/>
              </w:rPr>
              <w:t>ү</w:t>
            </w:r>
            <w:r w:rsidRPr="00C44EE6">
              <w:rPr>
                <w:noProof/>
                <w:sz w:val="24"/>
                <w:szCs w:val="24"/>
                <w:lang w:val="ky-KG"/>
              </w:rPr>
              <w:t>н</w:t>
            </w:r>
            <w:r w:rsidR="00B42EEF" w:rsidRPr="00C44EE6">
              <w:rPr>
                <w:noProof/>
                <w:sz w:val="24"/>
                <w:szCs w:val="24"/>
                <w:lang w:val="ky-KG"/>
              </w:rPr>
              <w:t>ү</w:t>
            </w:r>
            <w:r w:rsidRPr="00C44EE6">
              <w:rPr>
                <w:noProof/>
                <w:sz w:val="24"/>
                <w:szCs w:val="24"/>
                <w:lang w:val="ky-KG"/>
              </w:rPr>
              <w:t xml:space="preserve">н </w:t>
            </w:r>
            <w:r w:rsidR="00B42EEF" w:rsidRPr="00C44EE6">
              <w:rPr>
                <w:noProof/>
                <w:sz w:val="24"/>
                <w:szCs w:val="24"/>
                <w:lang w:val="ky-KG"/>
              </w:rPr>
              <w:t>ө</w:t>
            </w:r>
            <w:r w:rsidRPr="00C44EE6">
              <w:rPr>
                <w:noProof/>
                <w:sz w:val="24"/>
                <w:szCs w:val="24"/>
                <w:lang w:val="ky-KG"/>
              </w:rPr>
              <w:t>н</w:t>
            </w:r>
            <w:r w:rsidR="00B42EEF" w:rsidRPr="00C44EE6">
              <w:rPr>
                <w:noProof/>
                <w:sz w:val="24"/>
                <w:szCs w:val="24"/>
                <w:lang w:val="ky-KG"/>
              </w:rPr>
              <w:t>ү</w:t>
            </w:r>
            <w:r w:rsidRPr="00C44EE6">
              <w:rPr>
                <w:noProof/>
                <w:sz w:val="24"/>
                <w:szCs w:val="24"/>
                <w:lang w:val="ky-KG"/>
              </w:rPr>
              <w:t>г</w:t>
            </w:r>
            <w:r w:rsidR="00B42EEF" w:rsidRPr="00C44EE6">
              <w:rPr>
                <w:noProof/>
                <w:sz w:val="24"/>
                <w:szCs w:val="24"/>
                <w:lang w:val="ky-KG"/>
              </w:rPr>
              <w:t>ү</w:t>
            </w:r>
            <w:r w:rsidRPr="00C44EE6">
              <w:rPr>
                <w:noProof/>
                <w:sz w:val="24"/>
                <w:szCs w:val="24"/>
                <w:lang w:val="ky-KG"/>
              </w:rPr>
              <w:t>ш</w:t>
            </w:r>
            <w:r w:rsidR="00B42EEF" w:rsidRPr="00C44EE6">
              <w:rPr>
                <w:noProof/>
                <w:sz w:val="24"/>
                <w:szCs w:val="24"/>
                <w:lang w:val="ky-KG"/>
              </w:rPr>
              <w:t>ү</w:t>
            </w:r>
            <w:r w:rsidRPr="00C44EE6">
              <w:rPr>
                <w:noProof/>
                <w:sz w:val="24"/>
                <w:szCs w:val="24"/>
                <w:lang w:val="ky-KG"/>
              </w:rPr>
              <w:t>нүн айрым маселелери боюнча толук маалыматтар Кыргыз Республикасынын Улут</w:t>
            </w:r>
            <w:r w:rsidR="00B65859" w:rsidRPr="00C44EE6">
              <w:rPr>
                <w:noProof/>
                <w:sz w:val="24"/>
                <w:szCs w:val="24"/>
                <w:lang w:val="ky-KG"/>
              </w:rPr>
              <w:t>-</w:t>
            </w:r>
            <w:r w:rsidRPr="00C44EE6">
              <w:rPr>
                <w:noProof/>
                <w:sz w:val="24"/>
                <w:szCs w:val="24"/>
                <w:lang w:val="ky-KG"/>
              </w:rPr>
              <w:t>статкомунун башка расмий статистикалык басылмаларында жарыяланып чыгат.</w:t>
            </w:r>
          </w:p>
        </w:tc>
        <w:tc>
          <w:tcPr>
            <w:tcW w:w="4820" w:type="dxa"/>
          </w:tcPr>
          <w:p w14:paraId="035563E0" w14:textId="77777777" w:rsidR="00572E0C" w:rsidRPr="00C44EE6" w:rsidRDefault="00572E0C" w:rsidP="00C606FA">
            <w:pPr>
              <w:ind w:firstLine="709"/>
              <w:jc w:val="both"/>
              <w:rPr>
                <w:i/>
                <w:sz w:val="24"/>
                <w:szCs w:val="24"/>
              </w:rPr>
            </w:pPr>
            <w:r w:rsidRPr="00C44EE6">
              <w:rPr>
                <w:i/>
                <w:sz w:val="24"/>
                <w:szCs w:val="24"/>
              </w:rPr>
              <w:t>Более подробные данные по отдельным вопросам развития экономики и социальной сферы Кыргызской Республики публикуются в других официальных статистических изданиях Нацстаткома Кыргызской Республики.</w:t>
            </w:r>
          </w:p>
        </w:tc>
      </w:tr>
    </w:tbl>
    <w:p w14:paraId="5E52AA93" w14:textId="77777777" w:rsidR="005577F3" w:rsidRPr="00947ABD" w:rsidRDefault="005577F3" w:rsidP="004B6FB8">
      <w:pPr>
        <w:keepLines/>
        <w:jc w:val="center"/>
        <w:rPr>
          <w:rFonts w:ascii="Kyrghyz Times" w:hAnsi="Kyrghyz Times"/>
          <w:b/>
          <w:sz w:val="18"/>
          <w:szCs w:val="18"/>
        </w:rPr>
      </w:pPr>
    </w:p>
    <w:p w14:paraId="2466B706" w14:textId="77777777" w:rsidR="00C606FA" w:rsidRPr="002D1CD6" w:rsidRDefault="00C606FA" w:rsidP="00C606FA">
      <w:pPr>
        <w:pStyle w:val="24"/>
        <w:jc w:val="center"/>
        <w:rPr>
          <w:sz w:val="24"/>
          <w:lang w:val="ky-KG"/>
        </w:rPr>
      </w:pPr>
      <w:r w:rsidRPr="002D1CD6">
        <w:rPr>
          <w:sz w:val="24"/>
        </w:rPr>
        <w:t>М А З М У Н У</w:t>
      </w:r>
    </w:p>
    <w:p w14:paraId="1388310E" w14:textId="77777777" w:rsidR="00C606FA" w:rsidRPr="002D1CD6" w:rsidRDefault="00C606FA" w:rsidP="00C606FA">
      <w:pPr>
        <w:pStyle w:val="24"/>
        <w:jc w:val="center"/>
        <w:rPr>
          <w:sz w:val="24"/>
          <w:lang w:val="ky-KG"/>
        </w:rPr>
      </w:pPr>
    </w:p>
    <w:p w14:paraId="6ACEB1B0" w14:textId="77777777" w:rsidR="00C606FA" w:rsidRPr="002D1CD6" w:rsidRDefault="00C606FA" w:rsidP="00C606FA">
      <w:pPr>
        <w:pStyle w:val="24"/>
        <w:jc w:val="center"/>
        <w:rPr>
          <w:i/>
          <w:sz w:val="24"/>
        </w:rPr>
      </w:pPr>
      <w:r w:rsidRPr="002D1CD6">
        <w:rPr>
          <w:i/>
          <w:sz w:val="24"/>
        </w:rPr>
        <w:t>С О Д Е Р Ж А Н И Е</w:t>
      </w:r>
    </w:p>
    <w:p w14:paraId="16839158" w14:textId="77777777" w:rsidR="006E3545" w:rsidRDefault="006E3545" w:rsidP="00C606FA">
      <w:pPr>
        <w:pStyle w:val="2"/>
        <w:rPr>
          <w:sz w:val="24"/>
        </w:rPr>
      </w:pPr>
    </w:p>
    <w:tbl>
      <w:tblPr>
        <w:tblW w:w="10314" w:type="dxa"/>
        <w:tblLayout w:type="fixed"/>
        <w:tblLook w:val="0000" w:firstRow="0" w:lastRow="0" w:firstColumn="0" w:lastColumn="0" w:noHBand="0" w:noVBand="0"/>
      </w:tblPr>
      <w:tblGrid>
        <w:gridCol w:w="7621"/>
        <w:gridCol w:w="2693"/>
      </w:tblGrid>
      <w:tr w:rsidR="00E50049" w14:paraId="43178214" w14:textId="77777777" w:rsidTr="007B6BBB">
        <w:tc>
          <w:tcPr>
            <w:tcW w:w="7621" w:type="dxa"/>
          </w:tcPr>
          <w:p w14:paraId="506B9FBB" w14:textId="77777777" w:rsidR="00E50049" w:rsidRDefault="00E50049" w:rsidP="00D564ED">
            <w:pPr>
              <w:rPr>
                <w:sz w:val="24"/>
              </w:rPr>
            </w:pPr>
          </w:p>
        </w:tc>
        <w:tc>
          <w:tcPr>
            <w:tcW w:w="2693" w:type="dxa"/>
          </w:tcPr>
          <w:p w14:paraId="4BDB9CB4" w14:textId="77777777" w:rsidR="00E50049" w:rsidRPr="00CC7009" w:rsidRDefault="00C606FA" w:rsidP="00C606FA">
            <w:pPr>
              <w:jc w:val="center"/>
              <w:rPr>
                <w:sz w:val="24"/>
                <w:szCs w:val="24"/>
              </w:rPr>
            </w:pPr>
            <w:r>
              <w:rPr>
                <w:sz w:val="24"/>
                <w:szCs w:val="24"/>
              </w:rPr>
              <w:t>Бет /</w:t>
            </w:r>
            <w:r w:rsidRPr="00C606FA">
              <w:rPr>
                <w:i/>
                <w:sz w:val="24"/>
                <w:szCs w:val="24"/>
              </w:rPr>
              <w:t xml:space="preserve"> С</w:t>
            </w:r>
            <w:r w:rsidR="00E50049" w:rsidRPr="00C606FA">
              <w:rPr>
                <w:i/>
                <w:sz w:val="24"/>
                <w:szCs w:val="24"/>
              </w:rPr>
              <w:t>тр</w:t>
            </w:r>
            <w:r w:rsidR="00E50049" w:rsidRPr="00CC7009">
              <w:rPr>
                <w:sz w:val="24"/>
                <w:szCs w:val="24"/>
              </w:rPr>
              <w:t>.</w:t>
            </w:r>
          </w:p>
        </w:tc>
      </w:tr>
      <w:tr w:rsidR="00E50049" w14:paraId="6376C2C2" w14:textId="77777777" w:rsidTr="007B6BBB">
        <w:tc>
          <w:tcPr>
            <w:tcW w:w="7621" w:type="dxa"/>
          </w:tcPr>
          <w:p w14:paraId="77E60730" w14:textId="77777777" w:rsidR="00A9374F" w:rsidRDefault="00A9374F" w:rsidP="00A9374F">
            <w:pPr>
              <w:rPr>
                <w:b/>
                <w:sz w:val="24"/>
                <w:lang w:val="ky-KG"/>
              </w:rPr>
            </w:pPr>
            <w:r>
              <w:rPr>
                <w:b/>
                <w:sz w:val="24"/>
              </w:rPr>
              <w:t xml:space="preserve">1. </w:t>
            </w:r>
            <w:r w:rsidR="007B6BBB">
              <w:rPr>
                <w:b/>
                <w:sz w:val="24"/>
                <w:lang w:val="ky-KG"/>
              </w:rPr>
              <w:t>Жалал-Абад</w:t>
            </w:r>
            <w:r>
              <w:rPr>
                <w:b/>
                <w:sz w:val="24"/>
              </w:rPr>
              <w:t xml:space="preserve"> </w:t>
            </w:r>
            <w:proofErr w:type="spellStart"/>
            <w:r w:rsidR="00C606FA" w:rsidRPr="00C606FA">
              <w:rPr>
                <w:b/>
                <w:sz w:val="24"/>
              </w:rPr>
              <w:t>облусунун</w:t>
            </w:r>
            <w:proofErr w:type="spellEnd"/>
            <w:r w:rsidR="00C606FA" w:rsidRPr="00C606FA">
              <w:rPr>
                <w:b/>
                <w:sz w:val="24"/>
              </w:rPr>
              <w:t xml:space="preserve"> </w:t>
            </w:r>
            <w:proofErr w:type="spellStart"/>
            <w:r w:rsidR="00C606FA" w:rsidRPr="00C606FA">
              <w:rPr>
                <w:b/>
                <w:sz w:val="24"/>
              </w:rPr>
              <w:t>социалдык-экономикалык</w:t>
            </w:r>
            <w:proofErr w:type="spellEnd"/>
            <w:r w:rsidR="00C606FA" w:rsidRPr="00C606FA">
              <w:rPr>
                <w:b/>
                <w:sz w:val="24"/>
              </w:rPr>
              <w:t xml:space="preserve"> </w:t>
            </w:r>
            <w:proofErr w:type="spellStart"/>
            <w:r w:rsidRPr="00A9374F">
              <w:rPr>
                <w:b/>
                <w:sz w:val="24"/>
              </w:rPr>
              <w:t>өнүгүүсү</w:t>
            </w:r>
            <w:proofErr w:type="spellEnd"/>
            <w:r w:rsidR="00C606FA">
              <w:rPr>
                <w:b/>
                <w:sz w:val="24"/>
              </w:rPr>
              <w:t xml:space="preserve"> /</w:t>
            </w:r>
          </w:p>
          <w:p w14:paraId="4EAEB90B" w14:textId="77777777" w:rsidR="00E50049" w:rsidRPr="00CC7009" w:rsidRDefault="00C606FA" w:rsidP="007B6BBB">
            <w:pPr>
              <w:rPr>
                <w:b/>
                <w:i/>
                <w:sz w:val="24"/>
              </w:rPr>
            </w:pPr>
            <w:r>
              <w:rPr>
                <w:b/>
                <w:sz w:val="24"/>
              </w:rPr>
              <w:t xml:space="preserve"> 1. </w:t>
            </w:r>
            <w:r w:rsidR="00E50049" w:rsidRPr="00CC7009">
              <w:rPr>
                <w:b/>
                <w:i/>
                <w:sz w:val="24"/>
              </w:rPr>
              <w:t xml:space="preserve">Социально-экономическое развитие </w:t>
            </w:r>
            <w:r w:rsidR="007B6BBB">
              <w:rPr>
                <w:b/>
                <w:i/>
                <w:sz w:val="24"/>
                <w:lang w:val="ky-KG"/>
              </w:rPr>
              <w:t>Джалал-Абадс</w:t>
            </w:r>
            <w:r w:rsidR="00E50049" w:rsidRPr="00CC7009">
              <w:rPr>
                <w:b/>
                <w:i/>
                <w:sz w:val="24"/>
              </w:rPr>
              <w:t>кой области</w:t>
            </w:r>
          </w:p>
        </w:tc>
        <w:tc>
          <w:tcPr>
            <w:tcW w:w="2693" w:type="dxa"/>
          </w:tcPr>
          <w:p w14:paraId="1FFDB789" w14:textId="77777777" w:rsidR="00E50049" w:rsidRPr="002213E3" w:rsidRDefault="002213E3" w:rsidP="008C18F5">
            <w:pPr>
              <w:jc w:val="center"/>
              <w:rPr>
                <w:b/>
                <w:sz w:val="24"/>
                <w:lang w:val="ky-KG"/>
              </w:rPr>
            </w:pPr>
            <w:r>
              <w:rPr>
                <w:b/>
                <w:sz w:val="24"/>
                <w:lang w:val="ky-KG"/>
              </w:rPr>
              <w:t>5</w:t>
            </w:r>
          </w:p>
        </w:tc>
      </w:tr>
      <w:tr w:rsidR="00E50049" w14:paraId="569554B1" w14:textId="77777777" w:rsidTr="007B6BBB">
        <w:tc>
          <w:tcPr>
            <w:tcW w:w="7621" w:type="dxa"/>
          </w:tcPr>
          <w:p w14:paraId="5E1A6AF6" w14:textId="77777777" w:rsidR="00E50049" w:rsidRPr="00CC7009" w:rsidRDefault="00E50049" w:rsidP="00FD6399">
            <w:pPr>
              <w:rPr>
                <w:i/>
                <w:sz w:val="24"/>
              </w:rPr>
            </w:pPr>
          </w:p>
        </w:tc>
        <w:tc>
          <w:tcPr>
            <w:tcW w:w="2693" w:type="dxa"/>
          </w:tcPr>
          <w:p w14:paraId="36863B15" w14:textId="77777777" w:rsidR="00E50049" w:rsidRDefault="00E50049" w:rsidP="00CC7009">
            <w:pPr>
              <w:jc w:val="center"/>
              <w:rPr>
                <w:sz w:val="24"/>
              </w:rPr>
            </w:pPr>
          </w:p>
        </w:tc>
      </w:tr>
      <w:tr w:rsidR="00E50049" w14:paraId="03C25E32" w14:textId="77777777" w:rsidTr="007B6BBB">
        <w:tc>
          <w:tcPr>
            <w:tcW w:w="7621" w:type="dxa"/>
          </w:tcPr>
          <w:p w14:paraId="39DEEFC1" w14:textId="77777777" w:rsidR="00E50049" w:rsidRPr="00CC7009" w:rsidRDefault="00E50049" w:rsidP="00FD6399">
            <w:pPr>
              <w:rPr>
                <w:i/>
                <w:sz w:val="24"/>
              </w:rPr>
            </w:pPr>
          </w:p>
        </w:tc>
        <w:tc>
          <w:tcPr>
            <w:tcW w:w="2693" w:type="dxa"/>
          </w:tcPr>
          <w:p w14:paraId="38A096B5" w14:textId="77777777" w:rsidR="00E50049" w:rsidRDefault="00E50049" w:rsidP="00CC7009">
            <w:pPr>
              <w:jc w:val="center"/>
              <w:rPr>
                <w:sz w:val="24"/>
              </w:rPr>
            </w:pPr>
          </w:p>
        </w:tc>
      </w:tr>
      <w:tr w:rsidR="00E50049" w14:paraId="2AA21CD5" w14:textId="77777777" w:rsidTr="007B6BBB">
        <w:tc>
          <w:tcPr>
            <w:tcW w:w="7621" w:type="dxa"/>
          </w:tcPr>
          <w:p w14:paraId="52A45FBB" w14:textId="77777777" w:rsidR="00E50049" w:rsidRPr="00CC7009" w:rsidRDefault="00C606FA" w:rsidP="007D3968">
            <w:pPr>
              <w:rPr>
                <w:b/>
                <w:i/>
                <w:sz w:val="24"/>
              </w:rPr>
            </w:pPr>
            <w:r w:rsidRPr="00C606FA">
              <w:rPr>
                <w:b/>
                <w:sz w:val="24"/>
              </w:rPr>
              <w:t xml:space="preserve">2. </w:t>
            </w:r>
            <w:proofErr w:type="spellStart"/>
            <w:r w:rsidRPr="00C606FA">
              <w:rPr>
                <w:b/>
                <w:sz w:val="24"/>
              </w:rPr>
              <w:t>Сектор</w:t>
            </w:r>
            <w:r w:rsidR="007D3968">
              <w:rPr>
                <w:b/>
                <w:sz w:val="24"/>
              </w:rPr>
              <w:t>дук</w:t>
            </w:r>
            <w:proofErr w:type="spellEnd"/>
            <w:r w:rsidR="007B6BBB">
              <w:rPr>
                <w:b/>
                <w:sz w:val="24"/>
                <w:lang w:val="ky-KG"/>
              </w:rPr>
              <w:t xml:space="preserve"> </w:t>
            </w:r>
            <w:r w:rsidR="007D3968">
              <w:rPr>
                <w:b/>
                <w:sz w:val="24"/>
              </w:rPr>
              <w:t>м</w:t>
            </w:r>
            <w:r w:rsidR="007D3968">
              <w:rPr>
                <w:b/>
                <w:sz w:val="24"/>
                <w:lang w:val="ky-KG"/>
              </w:rPr>
              <w:t>үнөздөмө</w:t>
            </w:r>
            <w:r>
              <w:rPr>
                <w:b/>
                <w:sz w:val="24"/>
              </w:rPr>
              <w:t xml:space="preserve"> / </w:t>
            </w:r>
            <w:r w:rsidR="00E50049" w:rsidRPr="00CC7009">
              <w:rPr>
                <w:b/>
                <w:i/>
                <w:sz w:val="24"/>
              </w:rPr>
              <w:t>2. Секторный обзор</w:t>
            </w:r>
          </w:p>
        </w:tc>
        <w:tc>
          <w:tcPr>
            <w:tcW w:w="2693" w:type="dxa"/>
          </w:tcPr>
          <w:p w14:paraId="06F97249" w14:textId="77777777" w:rsidR="00E50049" w:rsidRPr="002213E3" w:rsidRDefault="002213E3" w:rsidP="008C18F5">
            <w:pPr>
              <w:jc w:val="center"/>
              <w:rPr>
                <w:b/>
                <w:sz w:val="24"/>
                <w:lang w:val="ky-KG"/>
              </w:rPr>
            </w:pPr>
            <w:r>
              <w:rPr>
                <w:b/>
                <w:sz w:val="24"/>
                <w:lang w:val="ky-KG"/>
              </w:rPr>
              <w:t>7</w:t>
            </w:r>
          </w:p>
        </w:tc>
      </w:tr>
      <w:tr w:rsidR="00E50049" w14:paraId="5079C1BA" w14:textId="77777777" w:rsidTr="007B6BBB">
        <w:tc>
          <w:tcPr>
            <w:tcW w:w="7621" w:type="dxa"/>
          </w:tcPr>
          <w:p w14:paraId="2838E7B4" w14:textId="77777777" w:rsidR="00E50049" w:rsidRPr="00CC7009" w:rsidRDefault="00A9374F" w:rsidP="00FD6399">
            <w:pPr>
              <w:rPr>
                <w:i/>
                <w:sz w:val="24"/>
              </w:rPr>
            </w:pPr>
            <w:r>
              <w:rPr>
                <w:sz w:val="24"/>
                <w:lang w:val="ky-KG"/>
              </w:rPr>
              <w:t>Реалд</w:t>
            </w:r>
            <w:proofErr w:type="spellStart"/>
            <w:r w:rsidR="00C606FA" w:rsidRPr="00C606FA">
              <w:rPr>
                <w:sz w:val="24"/>
              </w:rPr>
              <w:t>уу</w:t>
            </w:r>
            <w:proofErr w:type="spellEnd"/>
            <w:r w:rsidR="00C606FA" w:rsidRPr="00C606FA">
              <w:rPr>
                <w:sz w:val="24"/>
              </w:rPr>
              <w:t xml:space="preserve"> сектор</w:t>
            </w:r>
            <w:r w:rsidR="00C606FA">
              <w:rPr>
                <w:i/>
                <w:sz w:val="24"/>
              </w:rPr>
              <w:t xml:space="preserve"> / </w:t>
            </w:r>
            <w:r w:rsidR="00E50049" w:rsidRPr="00CC7009">
              <w:rPr>
                <w:i/>
                <w:sz w:val="24"/>
              </w:rPr>
              <w:t>Реальный сектор</w:t>
            </w:r>
          </w:p>
        </w:tc>
        <w:tc>
          <w:tcPr>
            <w:tcW w:w="2693" w:type="dxa"/>
          </w:tcPr>
          <w:p w14:paraId="2A1DB371" w14:textId="77777777" w:rsidR="00E50049" w:rsidRPr="002213E3" w:rsidRDefault="002213E3" w:rsidP="008C18F5">
            <w:pPr>
              <w:jc w:val="center"/>
              <w:rPr>
                <w:sz w:val="24"/>
                <w:lang w:val="ky-KG"/>
              </w:rPr>
            </w:pPr>
            <w:r>
              <w:rPr>
                <w:sz w:val="24"/>
                <w:lang w:val="ky-KG"/>
              </w:rPr>
              <w:t>7</w:t>
            </w:r>
          </w:p>
        </w:tc>
      </w:tr>
      <w:tr w:rsidR="008C18F5" w14:paraId="2C8D34BB" w14:textId="77777777" w:rsidTr="007B6BBB">
        <w:tc>
          <w:tcPr>
            <w:tcW w:w="7621" w:type="dxa"/>
          </w:tcPr>
          <w:p w14:paraId="6A09E7F1" w14:textId="77777777" w:rsidR="008C18F5" w:rsidRPr="00CC7009" w:rsidRDefault="008C18F5" w:rsidP="00FD6399">
            <w:pPr>
              <w:rPr>
                <w:i/>
                <w:sz w:val="24"/>
              </w:rPr>
            </w:pPr>
            <w:proofErr w:type="spellStart"/>
            <w:r w:rsidRPr="00C606FA">
              <w:rPr>
                <w:sz w:val="24"/>
              </w:rPr>
              <w:t>Мамлекеттик</w:t>
            </w:r>
            <w:proofErr w:type="spellEnd"/>
            <w:r w:rsidRPr="00C606FA">
              <w:rPr>
                <w:sz w:val="24"/>
              </w:rPr>
              <w:t xml:space="preserve"> сектор</w:t>
            </w:r>
            <w:r>
              <w:rPr>
                <w:i/>
                <w:sz w:val="24"/>
              </w:rPr>
              <w:t xml:space="preserve"> / </w:t>
            </w:r>
            <w:r w:rsidRPr="00CC7009">
              <w:rPr>
                <w:i/>
                <w:sz w:val="24"/>
              </w:rPr>
              <w:t>Государственный сектор</w:t>
            </w:r>
          </w:p>
        </w:tc>
        <w:tc>
          <w:tcPr>
            <w:tcW w:w="2693" w:type="dxa"/>
          </w:tcPr>
          <w:p w14:paraId="1913ED8F" w14:textId="4DE48124" w:rsidR="008C18F5" w:rsidRPr="0010724B" w:rsidRDefault="007A0E58" w:rsidP="000C41E1">
            <w:pPr>
              <w:jc w:val="center"/>
              <w:rPr>
                <w:sz w:val="24"/>
                <w:lang w:val="ky-KG"/>
              </w:rPr>
            </w:pPr>
            <w:r>
              <w:rPr>
                <w:sz w:val="24"/>
                <w:lang w:val="ky-KG"/>
              </w:rPr>
              <w:t>28</w:t>
            </w:r>
          </w:p>
        </w:tc>
      </w:tr>
      <w:tr w:rsidR="008C18F5" w14:paraId="53C3B851" w14:textId="77777777" w:rsidTr="007B6BBB">
        <w:tc>
          <w:tcPr>
            <w:tcW w:w="7621" w:type="dxa"/>
          </w:tcPr>
          <w:p w14:paraId="402CC319" w14:textId="77777777" w:rsidR="008C18F5" w:rsidRPr="00CC7009" w:rsidRDefault="008C18F5" w:rsidP="00FD6399">
            <w:pPr>
              <w:rPr>
                <w:i/>
                <w:sz w:val="24"/>
              </w:rPr>
            </w:pPr>
            <w:proofErr w:type="spellStart"/>
            <w:r w:rsidRPr="00C606FA">
              <w:rPr>
                <w:sz w:val="24"/>
              </w:rPr>
              <w:t>Тышкы</w:t>
            </w:r>
            <w:proofErr w:type="spellEnd"/>
            <w:r w:rsidRPr="00C606FA">
              <w:rPr>
                <w:sz w:val="24"/>
              </w:rPr>
              <w:t xml:space="preserve"> сектор</w:t>
            </w:r>
            <w:r>
              <w:rPr>
                <w:i/>
                <w:sz w:val="24"/>
              </w:rPr>
              <w:t xml:space="preserve"> / </w:t>
            </w:r>
            <w:r w:rsidRPr="00CC7009">
              <w:rPr>
                <w:i/>
                <w:sz w:val="24"/>
              </w:rPr>
              <w:t>Внешний сектор</w:t>
            </w:r>
          </w:p>
        </w:tc>
        <w:tc>
          <w:tcPr>
            <w:tcW w:w="2693" w:type="dxa"/>
          </w:tcPr>
          <w:p w14:paraId="104575C5" w14:textId="4770B920" w:rsidR="008C18F5" w:rsidRPr="0010724B" w:rsidRDefault="007A0E58" w:rsidP="000C41E1">
            <w:pPr>
              <w:jc w:val="center"/>
              <w:rPr>
                <w:sz w:val="24"/>
                <w:lang w:val="ky-KG"/>
              </w:rPr>
            </w:pPr>
            <w:r>
              <w:rPr>
                <w:sz w:val="24"/>
                <w:lang w:val="ky-KG"/>
              </w:rPr>
              <w:t>30</w:t>
            </w:r>
          </w:p>
        </w:tc>
      </w:tr>
      <w:tr w:rsidR="008C18F5" w14:paraId="718E4126" w14:textId="77777777" w:rsidTr="007B6BBB">
        <w:tc>
          <w:tcPr>
            <w:tcW w:w="7621" w:type="dxa"/>
          </w:tcPr>
          <w:p w14:paraId="1682ECA5" w14:textId="77777777" w:rsidR="008C18F5" w:rsidRPr="00CC7009" w:rsidRDefault="008C18F5" w:rsidP="00FD6399">
            <w:pPr>
              <w:rPr>
                <w:i/>
                <w:sz w:val="24"/>
              </w:rPr>
            </w:pPr>
            <w:proofErr w:type="spellStart"/>
            <w:r w:rsidRPr="00C606FA">
              <w:rPr>
                <w:sz w:val="24"/>
              </w:rPr>
              <w:t>Социалдык</w:t>
            </w:r>
            <w:proofErr w:type="spellEnd"/>
            <w:r w:rsidRPr="00C606FA">
              <w:rPr>
                <w:sz w:val="24"/>
              </w:rPr>
              <w:t xml:space="preserve"> сектор</w:t>
            </w:r>
            <w:r>
              <w:rPr>
                <w:i/>
                <w:sz w:val="24"/>
              </w:rPr>
              <w:t xml:space="preserve"> / </w:t>
            </w:r>
            <w:r w:rsidRPr="00CC7009">
              <w:rPr>
                <w:i/>
                <w:sz w:val="24"/>
              </w:rPr>
              <w:t>Социальный сектор</w:t>
            </w:r>
          </w:p>
        </w:tc>
        <w:tc>
          <w:tcPr>
            <w:tcW w:w="2693" w:type="dxa"/>
          </w:tcPr>
          <w:p w14:paraId="37BD3B07" w14:textId="66E22FFA" w:rsidR="008C18F5" w:rsidRPr="002213E3" w:rsidRDefault="002213E3" w:rsidP="000C41E1">
            <w:pPr>
              <w:jc w:val="center"/>
              <w:rPr>
                <w:sz w:val="24"/>
                <w:lang w:val="ky-KG"/>
              </w:rPr>
            </w:pPr>
            <w:r>
              <w:rPr>
                <w:sz w:val="24"/>
                <w:lang w:val="ky-KG"/>
              </w:rPr>
              <w:t>3</w:t>
            </w:r>
            <w:r w:rsidR="007A0E58">
              <w:rPr>
                <w:sz w:val="24"/>
                <w:lang w:val="ky-KG"/>
              </w:rPr>
              <w:t>3</w:t>
            </w:r>
          </w:p>
        </w:tc>
      </w:tr>
      <w:tr w:rsidR="008C18F5" w14:paraId="3DF2DFD8" w14:textId="77777777" w:rsidTr="007B6BBB">
        <w:tc>
          <w:tcPr>
            <w:tcW w:w="7621" w:type="dxa"/>
          </w:tcPr>
          <w:p w14:paraId="79664530" w14:textId="77777777" w:rsidR="008C18F5" w:rsidRPr="00CC7009" w:rsidRDefault="008C18F5" w:rsidP="00FD6399">
            <w:pPr>
              <w:rPr>
                <w:i/>
                <w:sz w:val="24"/>
              </w:rPr>
            </w:pPr>
          </w:p>
        </w:tc>
        <w:tc>
          <w:tcPr>
            <w:tcW w:w="2693" w:type="dxa"/>
          </w:tcPr>
          <w:p w14:paraId="63794257" w14:textId="77777777" w:rsidR="008C18F5" w:rsidRDefault="008C18F5" w:rsidP="00CC7009">
            <w:pPr>
              <w:jc w:val="center"/>
              <w:rPr>
                <w:sz w:val="24"/>
              </w:rPr>
            </w:pPr>
          </w:p>
        </w:tc>
      </w:tr>
      <w:tr w:rsidR="008C18F5" w14:paraId="0F6CA552" w14:textId="77777777" w:rsidTr="007B6BBB">
        <w:tc>
          <w:tcPr>
            <w:tcW w:w="7621" w:type="dxa"/>
          </w:tcPr>
          <w:p w14:paraId="29822BF3" w14:textId="77777777" w:rsidR="008C18F5" w:rsidRPr="00CC7009" w:rsidRDefault="008C18F5" w:rsidP="00FD6399">
            <w:pPr>
              <w:rPr>
                <w:i/>
                <w:sz w:val="24"/>
              </w:rPr>
            </w:pPr>
          </w:p>
        </w:tc>
        <w:tc>
          <w:tcPr>
            <w:tcW w:w="2693" w:type="dxa"/>
          </w:tcPr>
          <w:p w14:paraId="01DCD1E3" w14:textId="77777777" w:rsidR="008C18F5" w:rsidRDefault="008C18F5" w:rsidP="00CC7009">
            <w:pPr>
              <w:jc w:val="center"/>
              <w:rPr>
                <w:sz w:val="24"/>
              </w:rPr>
            </w:pPr>
          </w:p>
        </w:tc>
      </w:tr>
      <w:tr w:rsidR="008C18F5" w14:paraId="56BBC59E" w14:textId="77777777" w:rsidTr="007B6BBB">
        <w:tc>
          <w:tcPr>
            <w:tcW w:w="7621" w:type="dxa"/>
          </w:tcPr>
          <w:p w14:paraId="560EE294" w14:textId="77777777" w:rsidR="008C18F5" w:rsidRPr="00CC7009" w:rsidRDefault="008C18F5" w:rsidP="00C606FA">
            <w:pPr>
              <w:rPr>
                <w:b/>
                <w:i/>
                <w:sz w:val="24"/>
              </w:rPr>
            </w:pPr>
            <w:r w:rsidRPr="00C606FA">
              <w:rPr>
                <w:b/>
                <w:sz w:val="24"/>
              </w:rPr>
              <w:t xml:space="preserve">3. </w:t>
            </w:r>
            <w:proofErr w:type="spellStart"/>
            <w:r w:rsidRPr="00C606FA">
              <w:rPr>
                <w:b/>
                <w:sz w:val="24"/>
              </w:rPr>
              <w:t>Тиркемелер</w:t>
            </w:r>
            <w:proofErr w:type="spellEnd"/>
            <w:r>
              <w:rPr>
                <w:b/>
                <w:i/>
                <w:sz w:val="24"/>
              </w:rPr>
              <w:t xml:space="preserve">/ </w:t>
            </w:r>
            <w:r w:rsidRPr="00CC7009">
              <w:rPr>
                <w:b/>
                <w:i/>
                <w:sz w:val="24"/>
              </w:rPr>
              <w:t>3. Приложения</w:t>
            </w:r>
          </w:p>
        </w:tc>
        <w:tc>
          <w:tcPr>
            <w:tcW w:w="2693" w:type="dxa"/>
          </w:tcPr>
          <w:p w14:paraId="1417238E" w14:textId="6BC5EF79" w:rsidR="008C18F5" w:rsidRPr="002213E3" w:rsidRDefault="002213E3" w:rsidP="000C41E1">
            <w:pPr>
              <w:jc w:val="center"/>
              <w:rPr>
                <w:b/>
                <w:sz w:val="24"/>
                <w:lang w:val="ky-KG"/>
              </w:rPr>
            </w:pPr>
            <w:r>
              <w:rPr>
                <w:b/>
                <w:sz w:val="24"/>
                <w:lang w:val="ky-KG"/>
              </w:rPr>
              <w:t>4</w:t>
            </w:r>
            <w:r w:rsidR="008E60A9">
              <w:rPr>
                <w:b/>
                <w:sz w:val="24"/>
                <w:lang w:val="ky-KG"/>
              </w:rPr>
              <w:t>3</w:t>
            </w:r>
          </w:p>
        </w:tc>
      </w:tr>
      <w:tr w:rsidR="008C18F5" w14:paraId="0AF1FAFD" w14:textId="77777777" w:rsidTr="007B6BBB">
        <w:tc>
          <w:tcPr>
            <w:tcW w:w="7621" w:type="dxa"/>
          </w:tcPr>
          <w:p w14:paraId="7C991FBA" w14:textId="77777777" w:rsidR="008C18F5" w:rsidRPr="00CC7009" w:rsidRDefault="008C18F5" w:rsidP="00FD6399">
            <w:pPr>
              <w:rPr>
                <w:i/>
                <w:sz w:val="24"/>
              </w:rPr>
            </w:pPr>
          </w:p>
        </w:tc>
        <w:tc>
          <w:tcPr>
            <w:tcW w:w="2693" w:type="dxa"/>
          </w:tcPr>
          <w:p w14:paraId="196320E7" w14:textId="77777777" w:rsidR="008C18F5" w:rsidRDefault="008C18F5" w:rsidP="00CC7009">
            <w:pPr>
              <w:jc w:val="center"/>
              <w:rPr>
                <w:sz w:val="24"/>
              </w:rPr>
            </w:pPr>
          </w:p>
        </w:tc>
      </w:tr>
      <w:tr w:rsidR="008C18F5" w14:paraId="69E4F487" w14:textId="77777777" w:rsidTr="007B6BBB">
        <w:tc>
          <w:tcPr>
            <w:tcW w:w="7621" w:type="dxa"/>
          </w:tcPr>
          <w:p w14:paraId="003670D0" w14:textId="77777777" w:rsidR="008C18F5" w:rsidRPr="00CC7009" w:rsidRDefault="008C18F5" w:rsidP="00593AC1">
            <w:pPr>
              <w:rPr>
                <w:i/>
                <w:sz w:val="24"/>
              </w:rPr>
            </w:pPr>
            <w:r w:rsidRPr="00C606FA">
              <w:rPr>
                <w:sz w:val="24"/>
              </w:rPr>
              <w:t>Таблица</w:t>
            </w:r>
            <w:r>
              <w:rPr>
                <w:sz w:val="24"/>
                <w:lang w:val="ky-KG"/>
              </w:rPr>
              <w:t>лар</w:t>
            </w:r>
            <w:r>
              <w:rPr>
                <w:i/>
                <w:sz w:val="24"/>
              </w:rPr>
              <w:t xml:space="preserve"> / </w:t>
            </w:r>
            <w:r w:rsidRPr="00CC7009">
              <w:rPr>
                <w:i/>
                <w:sz w:val="24"/>
              </w:rPr>
              <w:t>Таблицы</w:t>
            </w:r>
          </w:p>
        </w:tc>
        <w:tc>
          <w:tcPr>
            <w:tcW w:w="2693" w:type="dxa"/>
          </w:tcPr>
          <w:p w14:paraId="4392982E" w14:textId="77777777" w:rsidR="008C18F5" w:rsidRDefault="008C18F5" w:rsidP="00CC7009">
            <w:pPr>
              <w:jc w:val="center"/>
              <w:rPr>
                <w:sz w:val="24"/>
              </w:rPr>
            </w:pPr>
          </w:p>
        </w:tc>
      </w:tr>
      <w:tr w:rsidR="008C18F5" w14:paraId="763E29E2" w14:textId="77777777" w:rsidTr="007B6BBB">
        <w:tc>
          <w:tcPr>
            <w:tcW w:w="7621" w:type="dxa"/>
          </w:tcPr>
          <w:p w14:paraId="0F85C2C7" w14:textId="77777777" w:rsidR="008C18F5" w:rsidRPr="00CC7009" w:rsidRDefault="00A9374F" w:rsidP="0075517F">
            <w:pPr>
              <w:rPr>
                <w:i/>
                <w:sz w:val="24"/>
              </w:rPr>
            </w:pPr>
            <w:r>
              <w:rPr>
                <w:sz w:val="24"/>
                <w:lang w:val="ky-KG"/>
              </w:rPr>
              <w:t>Реалд</w:t>
            </w:r>
            <w:proofErr w:type="spellStart"/>
            <w:r w:rsidR="008C18F5" w:rsidRPr="00C606FA">
              <w:rPr>
                <w:sz w:val="24"/>
              </w:rPr>
              <w:t>уу</w:t>
            </w:r>
            <w:proofErr w:type="spellEnd"/>
            <w:r w:rsidR="008C18F5" w:rsidRPr="00C606FA">
              <w:rPr>
                <w:sz w:val="24"/>
              </w:rPr>
              <w:t xml:space="preserve"> сектор</w:t>
            </w:r>
            <w:r w:rsidR="008C18F5">
              <w:rPr>
                <w:i/>
                <w:sz w:val="24"/>
              </w:rPr>
              <w:t xml:space="preserve"> / </w:t>
            </w:r>
            <w:r w:rsidR="008C18F5" w:rsidRPr="00CC7009">
              <w:rPr>
                <w:i/>
                <w:sz w:val="24"/>
              </w:rPr>
              <w:t>Реальный сектор</w:t>
            </w:r>
          </w:p>
        </w:tc>
        <w:tc>
          <w:tcPr>
            <w:tcW w:w="2693" w:type="dxa"/>
          </w:tcPr>
          <w:p w14:paraId="198DF6B4" w14:textId="092C7BE2" w:rsidR="008C18F5" w:rsidRPr="000E3669" w:rsidRDefault="00F33FA0" w:rsidP="000C41E1">
            <w:pPr>
              <w:jc w:val="center"/>
              <w:rPr>
                <w:sz w:val="24"/>
                <w:lang w:val="ky-KG"/>
              </w:rPr>
            </w:pPr>
            <w:r w:rsidRPr="000E3669">
              <w:rPr>
                <w:sz w:val="24"/>
                <w:lang w:val="ky-KG"/>
              </w:rPr>
              <w:t>4</w:t>
            </w:r>
            <w:r w:rsidR="005A5028">
              <w:rPr>
                <w:sz w:val="24"/>
                <w:lang w:val="ky-KG"/>
              </w:rPr>
              <w:t>4</w:t>
            </w:r>
          </w:p>
        </w:tc>
      </w:tr>
      <w:tr w:rsidR="008C18F5" w14:paraId="504495E1" w14:textId="77777777" w:rsidTr="007B6BBB">
        <w:tc>
          <w:tcPr>
            <w:tcW w:w="7621" w:type="dxa"/>
          </w:tcPr>
          <w:p w14:paraId="49D9C2C7" w14:textId="77777777" w:rsidR="008C18F5" w:rsidRPr="00CC7009" w:rsidRDefault="008C18F5" w:rsidP="0075517F">
            <w:pPr>
              <w:rPr>
                <w:i/>
                <w:sz w:val="24"/>
              </w:rPr>
            </w:pPr>
            <w:proofErr w:type="spellStart"/>
            <w:r w:rsidRPr="00C606FA">
              <w:rPr>
                <w:sz w:val="24"/>
              </w:rPr>
              <w:t>Мамлекеттик</w:t>
            </w:r>
            <w:proofErr w:type="spellEnd"/>
            <w:r w:rsidRPr="00C606FA">
              <w:rPr>
                <w:sz w:val="24"/>
              </w:rPr>
              <w:t xml:space="preserve"> сектор</w:t>
            </w:r>
            <w:r>
              <w:rPr>
                <w:i/>
                <w:sz w:val="24"/>
              </w:rPr>
              <w:t xml:space="preserve"> / </w:t>
            </w:r>
            <w:r w:rsidRPr="00CC7009">
              <w:rPr>
                <w:i/>
                <w:sz w:val="24"/>
              </w:rPr>
              <w:t>Государственный сектор</w:t>
            </w:r>
          </w:p>
        </w:tc>
        <w:tc>
          <w:tcPr>
            <w:tcW w:w="2693" w:type="dxa"/>
          </w:tcPr>
          <w:p w14:paraId="421239EA" w14:textId="2C646A9F" w:rsidR="008C18F5" w:rsidRPr="005A5028" w:rsidRDefault="00095077" w:rsidP="00F33FA0">
            <w:pPr>
              <w:jc w:val="center"/>
              <w:rPr>
                <w:sz w:val="24"/>
                <w:lang w:val="ky-KG"/>
              </w:rPr>
            </w:pPr>
            <w:r w:rsidRPr="000E3669">
              <w:rPr>
                <w:sz w:val="24"/>
              </w:rPr>
              <w:t>1</w:t>
            </w:r>
            <w:r w:rsidR="005A5028">
              <w:rPr>
                <w:sz w:val="24"/>
                <w:lang w:val="ky-KG"/>
              </w:rPr>
              <w:t>26</w:t>
            </w:r>
          </w:p>
        </w:tc>
      </w:tr>
      <w:tr w:rsidR="008C18F5" w14:paraId="399B37DF" w14:textId="77777777" w:rsidTr="007B6BBB">
        <w:tc>
          <w:tcPr>
            <w:tcW w:w="7621" w:type="dxa"/>
          </w:tcPr>
          <w:p w14:paraId="7236CAB4" w14:textId="77777777" w:rsidR="008C18F5" w:rsidRPr="00CC7009" w:rsidRDefault="008C18F5" w:rsidP="0075517F">
            <w:pPr>
              <w:rPr>
                <w:i/>
                <w:sz w:val="24"/>
              </w:rPr>
            </w:pPr>
            <w:proofErr w:type="spellStart"/>
            <w:r w:rsidRPr="00C606FA">
              <w:rPr>
                <w:sz w:val="24"/>
              </w:rPr>
              <w:t>Тышкы</w:t>
            </w:r>
            <w:proofErr w:type="spellEnd"/>
            <w:r w:rsidRPr="00C606FA">
              <w:rPr>
                <w:sz w:val="24"/>
              </w:rPr>
              <w:t xml:space="preserve"> сектор</w:t>
            </w:r>
            <w:r>
              <w:rPr>
                <w:i/>
                <w:sz w:val="24"/>
              </w:rPr>
              <w:t xml:space="preserve"> / </w:t>
            </w:r>
            <w:r w:rsidRPr="00CC7009">
              <w:rPr>
                <w:i/>
                <w:sz w:val="24"/>
              </w:rPr>
              <w:t>Внешний сектор</w:t>
            </w:r>
          </w:p>
        </w:tc>
        <w:tc>
          <w:tcPr>
            <w:tcW w:w="2693" w:type="dxa"/>
          </w:tcPr>
          <w:p w14:paraId="3B0B3FCC" w14:textId="7A1BD130" w:rsidR="008C18F5" w:rsidRPr="000E3669" w:rsidRDefault="008C18F5" w:rsidP="00F33FA0">
            <w:pPr>
              <w:jc w:val="center"/>
              <w:rPr>
                <w:sz w:val="24"/>
                <w:lang w:val="ky-KG"/>
              </w:rPr>
            </w:pPr>
            <w:r w:rsidRPr="000E3669">
              <w:rPr>
                <w:sz w:val="24"/>
                <w:lang w:val="en-US"/>
              </w:rPr>
              <w:t>1</w:t>
            </w:r>
            <w:r w:rsidR="00F33FA0" w:rsidRPr="000E3669">
              <w:rPr>
                <w:sz w:val="24"/>
                <w:lang w:val="ky-KG"/>
              </w:rPr>
              <w:t>3</w:t>
            </w:r>
            <w:r w:rsidR="005A5028">
              <w:rPr>
                <w:sz w:val="24"/>
                <w:lang w:val="ky-KG"/>
              </w:rPr>
              <w:t>0</w:t>
            </w:r>
          </w:p>
        </w:tc>
      </w:tr>
      <w:tr w:rsidR="008C18F5" w14:paraId="4A5C1FE5" w14:textId="77777777" w:rsidTr="007B6BBB">
        <w:tc>
          <w:tcPr>
            <w:tcW w:w="7621" w:type="dxa"/>
          </w:tcPr>
          <w:p w14:paraId="12BB39C9" w14:textId="77777777" w:rsidR="008C18F5" w:rsidRPr="00CC7009" w:rsidRDefault="008C18F5" w:rsidP="0075517F">
            <w:pPr>
              <w:rPr>
                <w:i/>
                <w:sz w:val="24"/>
              </w:rPr>
            </w:pPr>
            <w:proofErr w:type="spellStart"/>
            <w:r w:rsidRPr="00C606FA">
              <w:rPr>
                <w:sz w:val="24"/>
              </w:rPr>
              <w:t>Социалдык</w:t>
            </w:r>
            <w:proofErr w:type="spellEnd"/>
            <w:r w:rsidRPr="00C606FA">
              <w:rPr>
                <w:sz w:val="24"/>
              </w:rPr>
              <w:t xml:space="preserve"> сектор</w:t>
            </w:r>
            <w:r>
              <w:rPr>
                <w:i/>
                <w:sz w:val="24"/>
              </w:rPr>
              <w:t xml:space="preserve"> / </w:t>
            </w:r>
            <w:r w:rsidRPr="00CC7009">
              <w:rPr>
                <w:i/>
                <w:sz w:val="24"/>
              </w:rPr>
              <w:t>Социальный сектор</w:t>
            </w:r>
          </w:p>
        </w:tc>
        <w:tc>
          <w:tcPr>
            <w:tcW w:w="2693" w:type="dxa"/>
          </w:tcPr>
          <w:p w14:paraId="33A48A58" w14:textId="456FF328" w:rsidR="008C18F5" w:rsidRPr="00910259" w:rsidRDefault="008C18F5" w:rsidP="000C41E1">
            <w:pPr>
              <w:jc w:val="center"/>
              <w:rPr>
                <w:sz w:val="24"/>
                <w:lang w:val="ky-KG"/>
              </w:rPr>
            </w:pPr>
            <w:r w:rsidRPr="00910259">
              <w:rPr>
                <w:sz w:val="24"/>
              </w:rPr>
              <w:t>1</w:t>
            </w:r>
            <w:r w:rsidR="00910259" w:rsidRPr="00910259">
              <w:rPr>
                <w:sz w:val="24"/>
                <w:lang w:val="ky-KG"/>
              </w:rPr>
              <w:t>4</w:t>
            </w:r>
            <w:r w:rsidR="005A5028">
              <w:rPr>
                <w:sz w:val="24"/>
                <w:lang w:val="ky-KG"/>
              </w:rPr>
              <w:t>0</w:t>
            </w:r>
          </w:p>
        </w:tc>
      </w:tr>
      <w:tr w:rsidR="008C18F5" w14:paraId="0F6AFE68" w14:textId="77777777" w:rsidTr="007B6BBB">
        <w:tc>
          <w:tcPr>
            <w:tcW w:w="7621" w:type="dxa"/>
          </w:tcPr>
          <w:p w14:paraId="4B406A6F" w14:textId="77777777" w:rsidR="008C18F5" w:rsidRPr="00CC7009" w:rsidRDefault="008C18F5" w:rsidP="00FD6399">
            <w:pPr>
              <w:rPr>
                <w:i/>
                <w:sz w:val="24"/>
              </w:rPr>
            </w:pPr>
          </w:p>
        </w:tc>
        <w:tc>
          <w:tcPr>
            <w:tcW w:w="2693" w:type="dxa"/>
          </w:tcPr>
          <w:p w14:paraId="014000CA" w14:textId="77777777" w:rsidR="008C18F5" w:rsidRPr="002213E3" w:rsidRDefault="008C18F5" w:rsidP="00CC7009">
            <w:pPr>
              <w:jc w:val="center"/>
              <w:rPr>
                <w:color w:val="FF0000"/>
                <w:sz w:val="24"/>
              </w:rPr>
            </w:pPr>
          </w:p>
        </w:tc>
      </w:tr>
      <w:tr w:rsidR="008C18F5" w14:paraId="18CC630E" w14:textId="77777777" w:rsidTr="007B6BBB">
        <w:tc>
          <w:tcPr>
            <w:tcW w:w="7621" w:type="dxa"/>
          </w:tcPr>
          <w:p w14:paraId="16AE9807" w14:textId="77777777" w:rsidR="008C18F5" w:rsidRPr="00CC7009" w:rsidRDefault="008C18F5" w:rsidP="00FD6399">
            <w:pPr>
              <w:rPr>
                <w:i/>
                <w:sz w:val="24"/>
              </w:rPr>
            </w:pPr>
          </w:p>
        </w:tc>
        <w:tc>
          <w:tcPr>
            <w:tcW w:w="2693" w:type="dxa"/>
          </w:tcPr>
          <w:p w14:paraId="430B0505" w14:textId="77777777" w:rsidR="008C18F5" w:rsidRPr="002213E3" w:rsidRDefault="008C18F5" w:rsidP="00CC7009">
            <w:pPr>
              <w:jc w:val="center"/>
              <w:rPr>
                <w:color w:val="FF0000"/>
                <w:sz w:val="24"/>
              </w:rPr>
            </w:pPr>
          </w:p>
        </w:tc>
      </w:tr>
      <w:tr w:rsidR="008C18F5" w14:paraId="08118F6F" w14:textId="77777777" w:rsidTr="007B6BBB">
        <w:tc>
          <w:tcPr>
            <w:tcW w:w="7621" w:type="dxa"/>
          </w:tcPr>
          <w:p w14:paraId="7400BDCA" w14:textId="77777777" w:rsidR="008C18F5" w:rsidRPr="00CC7009" w:rsidRDefault="008C18F5" w:rsidP="00593AC1">
            <w:pPr>
              <w:rPr>
                <w:b/>
                <w:i/>
                <w:sz w:val="24"/>
              </w:rPr>
            </w:pPr>
          </w:p>
        </w:tc>
        <w:tc>
          <w:tcPr>
            <w:tcW w:w="2693" w:type="dxa"/>
          </w:tcPr>
          <w:p w14:paraId="5B7DE6F1" w14:textId="77777777" w:rsidR="008C18F5" w:rsidRPr="00EB7836" w:rsidRDefault="008C18F5" w:rsidP="00EB7836">
            <w:pPr>
              <w:jc w:val="center"/>
              <w:rPr>
                <w:b/>
                <w:sz w:val="24"/>
                <w:lang w:val="ky-KG"/>
              </w:rPr>
            </w:pPr>
          </w:p>
        </w:tc>
      </w:tr>
      <w:tr w:rsidR="008C18F5" w14:paraId="0A18F1BA" w14:textId="77777777" w:rsidTr="007B6BBB">
        <w:tc>
          <w:tcPr>
            <w:tcW w:w="7621" w:type="dxa"/>
          </w:tcPr>
          <w:p w14:paraId="24B84DAC" w14:textId="77777777" w:rsidR="008C18F5" w:rsidRDefault="008C18F5" w:rsidP="00D564ED">
            <w:pPr>
              <w:rPr>
                <w:sz w:val="24"/>
              </w:rPr>
            </w:pPr>
          </w:p>
        </w:tc>
        <w:tc>
          <w:tcPr>
            <w:tcW w:w="2693" w:type="dxa"/>
          </w:tcPr>
          <w:p w14:paraId="4D8889BD" w14:textId="77777777" w:rsidR="008C18F5" w:rsidRDefault="008C18F5" w:rsidP="00CC7009">
            <w:pPr>
              <w:jc w:val="center"/>
              <w:rPr>
                <w:sz w:val="24"/>
              </w:rPr>
            </w:pPr>
          </w:p>
        </w:tc>
      </w:tr>
      <w:tr w:rsidR="008C18F5" w14:paraId="1BBAE3B6" w14:textId="77777777" w:rsidTr="007B6BBB">
        <w:tc>
          <w:tcPr>
            <w:tcW w:w="7621" w:type="dxa"/>
          </w:tcPr>
          <w:p w14:paraId="79FE2CC8" w14:textId="77777777" w:rsidR="008C18F5" w:rsidRDefault="008C18F5" w:rsidP="00D564ED">
            <w:pPr>
              <w:rPr>
                <w:sz w:val="24"/>
              </w:rPr>
            </w:pPr>
          </w:p>
        </w:tc>
        <w:tc>
          <w:tcPr>
            <w:tcW w:w="2693" w:type="dxa"/>
          </w:tcPr>
          <w:p w14:paraId="2708E80C" w14:textId="77777777" w:rsidR="008C18F5" w:rsidRDefault="008C18F5" w:rsidP="00CC7009">
            <w:pPr>
              <w:jc w:val="center"/>
              <w:rPr>
                <w:sz w:val="24"/>
              </w:rPr>
            </w:pPr>
          </w:p>
        </w:tc>
      </w:tr>
      <w:tr w:rsidR="008C18F5" w14:paraId="5538DE48" w14:textId="77777777" w:rsidTr="007B6BBB">
        <w:tc>
          <w:tcPr>
            <w:tcW w:w="7621" w:type="dxa"/>
          </w:tcPr>
          <w:p w14:paraId="6BBE7E4D" w14:textId="77777777" w:rsidR="008C18F5" w:rsidRDefault="008C18F5" w:rsidP="00D564ED">
            <w:pPr>
              <w:rPr>
                <w:sz w:val="24"/>
              </w:rPr>
            </w:pPr>
          </w:p>
        </w:tc>
        <w:tc>
          <w:tcPr>
            <w:tcW w:w="2693" w:type="dxa"/>
          </w:tcPr>
          <w:p w14:paraId="0600513A" w14:textId="77777777" w:rsidR="008C18F5" w:rsidRDefault="008C18F5" w:rsidP="00CC7009">
            <w:pPr>
              <w:jc w:val="center"/>
              <w:rPr>
                <w:sz w:val="24"/>
              </w:rPr>
            </w:pPr>
          </w:p>
        </w:tc>
      </w:tr>
      <w:tr w:rsidR="008C18F5" w14:paraId="5B0FF5CE" w14:textId="77777777" w:rsidTr="007B6BBB">
        <w:tc>
          <w:tcPr>
            <w:tcW w:w="7621" w:type="dxa"/>
          </w:tcPr>
          <w:p w14:paraId="01B4638D" w14:textId="77777777" w:rsidR="008C18F5" w:rsidRDefault="008C18F5" w:rsidP="00D564ED">
            <w:pPr>
              <w:rPr>
                <w:sz w:val="24"/>
              </w:rPr>
            </w:pPr>
          </w:p>
        </w:tc>
        <w:tc>
          <w:tcPr>
            <w:tcW w:w="2693" w:type="dxa"/>
          </w:tcPr>
          <w:p w14:paraId="005BC136" w14:textId="77777777" w:rsidR="008C18F5" w:rsidRDefault="008C18F5" w:rsidP="00CC7009">
            <w:pPr>
              <w:jc w:val="center"/>
              <w:rPr>
                <w:sz w:val="24"/>
              </w:rPr>
            </w:pPr>
          </w:p>
        </w:tc>
      </w:tr>
      <w:tr w:rsidR="008C18F5" w14:paraId="086653E4" w14:textId="77777777" w:rsidTr="007B6BBB">
        <w:tc>
          <w:tcPr>
            <w:tcW w:w="7621" w:type="dxa"/>
          </w:tcPr>
          <w:p w14:paraId="0E55D1BA" w14:textId="77777777" w:rsidR="008C18F5" w:rsidRDefault="008C18F5" w:rsidP="00D564ED">
            <w:pPr>
              <w:rPr>
                <w:sz w:val="24"/>
              </w:rPr>
            </w:pPr>
          </w:p>
        </w:tc>
        <w:tc>
          <w:tcPr>
            <w:tcW w:w="2693" w:type="dxa"/>
          </w:tcPr>
          <w:p w14:paraId="0D5B7363" w14:textId="77777777" w:rsidR="008C18F5" w:rsidRDefault="008C18F5" w:rsidP="00CC7009">
            <w:pPr>
              <w:jc w:val="center"/>
              <w:rPr>
                <w:sz w:val="24"/>
              </w:rPr>
            </w:pPr>
          </w:p>
        </w:tc>
      </w:tr>
      <w:tr w:rsidR="008C18F5" w14:paraId="1FDE7F23" w14:textId="77777777" w:rsidTr="007B6BBB">
        <w:tc>
          <w:tcPr>
            <w:tcW w:w="7621" w:type="dxa"/>
          </w:tcPr>
          <w:p w14:paraId="58AD0AC6" w14:textId="77777777" w:rsidR="008C18F5" w:rsidRDefault="008C18F5" w:rsidP="00D564ED">
            <w:pPr>
              <w:rPr>
                <w:sz w:val="24"/>
              </w:rPr>
            </w:pPr>
          </w:p>
        </w:tc>
        <w:tc>
          <w:tcPr>
            <w:tcW w:w="2693" w:type="dxa"/>
          </w:tcPr>
          <w:p w14:paraId="01832992" w14:textId="77777777" w:rsidR="008C18F5" w:rsidRDefault="008C18F5" w:rsidP="00CC7009">
            <w:pPr>
              <w:jc w:val="center"/>
              <w:rPr>
                <w:sz w:val="24"/>
              </w:rPr>
            </w:pPr>
          </w:p>
        </w:tc>
      </w:tr>
      <w:tr w:rsidR="008C18F5" w14:paraId="15557680" w14:textId="77777777" w:rsidTr="007B6BBB">
        <w:tc>
          <w:tcPr>
            <w:tcW w:w="7621" w:type="dxa"/>
          </w:tcPr>
          <w:p w14:paraId="35C024ED" w14:textId="77777777" w:rsidR="008C18F5" w:rsidRDefault="008C18F5" w:rsidP="00D564ED">
            <w:pPr>
              <w:rPr>
                <w:sz w:val="24"/>
              </w:rPr>
            </w:pPr>
          </w:p>
        </w:tc>
        <w:tc>
          <w:tcPr>
            <w:tcW w:w="2693" w:type="dxa"/>
          </w:tcPr>
          <w:p w14:paraId="27557AD1" w14:textId="77777777" w:rsidR="008C18F5" w:rsidRDefault="008C18F5" w:rsidP="00CC7009">
            <w:pPr>
              <w:jc w:val="center"/>
              <w:rPr>
                <w:sz w:val="24"/>
              </w:rPr>
            </w:pPr>
          </w:p>
        </w:tc>
      </w:tr>
    </w:tbl>
    <w:p w14:paraId="0AAFC66C" w14:textId="77777777" w:rsidR="006E3545" w:rsidRDefault="006E3545" w:rsidP="006E3545">
      <w:pPr>
        <w:rPr>
          <w:sz w:val="24"/>
        </w:rPr>
      </w:pPr>
    </w:p>
    <w:p w14:paraId="145BE060" w14:textId="77777777" w:rsidR="006E3545" w:rsidRDefault="006E3545" w:rsidP="006E3545">
      <w:pPr>
        <w:pStyle w:val="1"/>
        <w:ind w:left="360"/>
        <w:jc w:val="left"/>
        <w:rPr>
          <w:b/>
          <w:sz w:val="32"/>
        </w:rPr>
      </w:pPr>
      <w:r>
        <w:rPr>
          <w:b/>
          <w:sz w:val="32"/>
        </w:rPr>
        <w:br w:type="page"/>
      </w:r>
    </w:p>
    <w:tbl>
      <w:tblPr>
        <w:tblW w:w="0" w:type="auto"/>
        <w:tblInd w:w="250" w:type="dxa"/>
        <w:tblLook w:val="04A0" w:firstRow="1" w:lastRow="0" w:firstColumn="1" w:lastColumn="0" w:noHBand="0" w:noVBand="1"/>
      </w:tblPr>
      <w:tblGrid>
        <w:gridCol w:w="4635"/>
        <w:gridCol w:w="4753"/>
      </w:tblGrid>
      <w:tr w:rsidR="004E69B9" w:rsidRPr="00B80EE8" w14:paraId="3655F989" w14:textId="77777777" w:rsidTr="0075517F">
        <w:tc>
          <w:tcPr>
            <w:tcW w:w="4677" w:type="dxa"/>
          </w:tcPr>
          <w:p w14:paraId="23BB6CC3" w14:textId="66190CB9" w:rsidR="004E69B9" w:rsidRPr="00126DDC" w:rsidRDefault="00126DDC" w:rsidP="00790951">
            <w:pPr>
              <w:jc w:val="both"/>
              <w:rPr>
                <w:rFonts w:ascii="Kyrghyz Times" w:hAnsi="Kyrghyz Times"/>
                <w:i/>
                <w:color w:val="000000"/>
                <w:sz w:val="32"/>
                <w:szCs w:val="32"/>
                <w:lang w:val="ky-KG"/>
              </w:rPr>
            </w:pPr>
            <w:r w:rsidRPr="00126DDC">
              <w:rPr>
                <w:b/>
                <w:sz w:val="32"/>
                <w:szCs w:val="32"/>
                <w:lang w:val="ky-KG"/>
              </w:rPr>
              <w:t>1.</w:t>
            </w:r>
            <w:r w:rsidR="00790951">
              <w:rPr>
                <w:b/>
                <w:sz w:val="32"/>
                <w:szCs w:val="32"/>
                <w:lang w:val="ky-KG"/>
              </w:rPr>
              <w:t xml:space="preserve"> </w:t>
            </w:r>
            <w:r w:rsidRPr="00126DDC">
              <w:rPr>
                <w:b/>
                <w:sz w:val="32"/>
                <w:szCs w:val="32"/>
              </w:rPr>
              <w:t>20</w:t>
            </w:r>
            <w:r w:rsidR="00FA1544">
              <w:rPr>
                <w:b/>
                <w:sz w:val="32"/>
                <w:szCs w:val="32"/>
                <w:lang w:val="ky-KG"/>
              </w:rPr>
              <w:t>20</w:t>
            </w:r>
            <w:r w:rsidRPr="00126DDC">
              <w:rPr>
                <w:b/>
                <w:sz w:val="32"/>
                <w:szCs w:val="32"/>
              </w:rPr>
              <w:t>-20</w:t>
            </w:r>
            <w:r w:rsidR="00225632" w:rsidRPr="00225632">
              <w:rPr>
                <w:b/>
                <w:sz w:val="32"/>
                <w:szCs w:val="32"/>
              </w:rPr>
              <w:t>2</w:t>
            </w:r>
            <w:r w:rsidR="00FA1544">
              <w:rPr>
                <w:b/>
                <w:sz w:val="32"/>
                <w:szCs w:val="32"/>
                <w:lang w:val="ky-KG"/>
              </w:rPr>
              <w:t>4</w:t>
            </w:r>
            <w:r w:rsidR="000E6AF6">
              <w:rPr>
                <w:b/>
                <w:sz w:val="32"/>
                <w:szCs w:val="32"/>
                <w:lang w:val="ky-KG"/>
              </w:rPr>
              <w:t>-</w:t>
            </w:r>
            <w:r w:rsidRPr="00126DDC">
              <w:rPr>
                <w:b/>
                <w:sz w:val="32"/>
                <w:szCs w:val="32"/>
                <w:lang w:val="ky-KG"/>
              </w:rPr>
              <w:t>жж</w:t>
            </w:r>
            <w:r w:rsidRPr="00126DDC">
              <w:rPr>
                <w:b/>
                <w:sz w:val="32"/>
                <w:szCs w:val="32"/>
              </w:rPr>
              <w:t>.</w:t>
            </w:r>
            <w:r w:rsidRPr="00126DDC">
              <w:rPr>
                <w:b/>
                <w:sz w:val="32"/>
                <w:szCs w:val="32"/>
                <w:lang w:val="ky-KG"/>
              </w:rPr>
              <w:t xml:space="preserve"> облуст</w:t>
            </w:r>
            <w:r w:rsidR="0064686A">
              <w:rPr>
                <w:b/>
                <w:sz w:val="32"/>
                <w:szCs w:val="32"/>
                <w:lang w:val="ky-KG"/>
              </w:rPr>
              <w:t>ун социалдык-</w:t>
            </w:r>
            <w:proofErr w:type="gramStart"/>
            <w:r w:rsidR="0064686A">
              <w:rPr>
                <w:b/>
                <w:sz w:val="32"/>
                <w:szCs w:val="32"/>
                <w:lang w:val="ky-KG"/>
              </w:rPr>
              <w:t xml:space="preserve">экономикалык </w:t>
            </w:r>
            <w:r w:rsidRPr="00126DDC">
              <w:rPr>
                <w:b/>
                <w:sz w:val="32"/>
                <w:szCs w:val="32"/>
                <w:lang w:val="ky-KG"/>
              </w:rPr>
              <w:t xml:space="preserve"> өнүгүүсү</w:t>
            </w:r>
            <w:proofErr w:type="gramEnd"/>
          </w:p>
        </w:tc>
        <w:tc>
          <w:tcPr>
            <w:tcW w:w="4820" w:type="dxa"/>
          </w:tcPr>
          <w:p w14:paraId="68483CEB" w14:textId="4AA69026" w:rsidR="004E69B9" w:rsidRPr="00B80EE8" w:rsidRDefault="004E69B9" w:rsidP="00DC123A">
            <w:pPr>
              <w:pStyle w:val="1"/>
              <w:jc w:val="left"/>
              <w:rPr>
                <w:rFonts w:ascii="Kyrghyz Times" w:hAnsi="Kyrghyz Times"/>
                <w:i/>
                <w:color w:val="000000"/>
                <w:sz w:val="19"/>
                <w:szCs w:val="19"/>
              </w:rPr>
            </w:pPr>
            <w:r w:rsidRPr="00B80EE8">
              <w:rPr>
                <w:b/>
                <w:i/>
                <w:sz w:val="32"/>
                <w:lang w:val="ky-KG"/>
              </w:rPr>
              <w:t xml:space="preserve">1. </w:t>
            </w:r>
            <w:r w:rsidRPr="00B80EE8">
              <w:rPr>
                <w:b/>
                <w:i/>
                <w:sz w:val="32"/>
              </w:rPr>
              <w:t>Социально-экономическое развитие области за 20</w:t>
            </w:r>
            <w:r w:rsidR="00FA1544">
              <w:rPr>
                <w:b/>
                <w:i/>
                <w:sz w:val="32"/>
                <w:lang w:val="ky-KG"/>
              </w:rPr>
              <w:t>20</w:t>
            </w:r>
            <w:r w:rsidRPr="00B80EE8">
              <w:rPr>
                <w:b/>
                <w:i/>
                <w:sz w:val="32"/>
              </w:rPr>
              <w:t>-20</w:t>
            </w:r>
            <w:r w:rsidR="00225632" w:rsidRPr="00225632">
              <w:rPr>
                <w:b/>
                <w:i/>
                <w:sz w:val="32"/>
              </w:rPr>
              <w:t>2</w:t>
            </w:r>
            <w:r w:rsidR="00FA1544">
              <w:rPr>
                <w:b/>
                <w:i/>
                <w:sz w:val="32"/>
                <w:lang w:val="ky-KG"/>
              </w:rPr>
              <w:t>4</w:t>
            </w:r>
            <w:r w:rsidRPr="00B80EE8">
              <w:rPr>
                <w:b/>
                <w:i/>
                <w:sz w:val="32"/>
              </w:rPr>
              <w:t>гг.</w:t>
            </w:r>
          </w:p>
        </w:tc>
      </w:tr>
    </w:tbl>
    <w:p w14:paraId="1B52C168" w14:textId="77777777" w:rsidR="005D34F2" w:rsidRPr="00B80EE8" w:rsidRDefault="005D34F2" w:rsidP="005D34F2">
      <w:pPr>
        <w:pStyle w:val="1"/>
        <w:ind w:left="360"/>
        <w:jc w:val="left"/>
        <w:rPr>
          <w:b/>
          <w:sz w:val="32"/>
          <w:highlight w:val="yellow"/>
        </w:rPr>
      </w:pPr>
    </w:p>
    <w:tbl>
      <w:tblPr>
        <w:tblW w:w="9497" w:type="dxa"/>
        <w:tblInd w:w="250" w:type="dxa"/>
        <w:tblLook w:val="04A0" w:firstRow="1" w:lastRow="0" w:firstColumn="1" w:lastColumn="0" w:noHBand="0" w:noVBand="1"/>
      </w:tblPr>
      <w:tblGrid>
        <w:gridCol w:w="4677"/>
        <w:gridCol w:w="4820"/>
      </w:tblGrid>
      <w:tr w:rsidR="004E69B9" w:rsidRPr="00B80EE8" w14:paraId="23ACA344" w14:textId="77777777" w:rsidTr="004E69B9">
        <w:tc>
          <w:tcPr>
            <w:tcW w:w="4677" w:type="dxa"/>
          </w:tcPr>
          <w:p w14:paraId="50D274F1" w14:textId="4DFEBFAE" w:rsidR="004E69B9" w:rsidRPr="00C44EE6" w:rsidRDefault="003E268F" w:rsidP="00FA1544">
            <w:pPr>
              <w:ind w:firstLine="488"/>
              <w:jc w:val="both"/>
              <w:rPr>
                <w:rFonts w:ascii="Kyrghyz Times" w:hAnsi="Kyrghyz Times"/>
                <w:sz w:val="19"/>
                <w:szCs w:val="19"/>
                <w:lang w:val="ky-KG"/>
              </w:rPr>
            </w:pPr>
            <w:r w:rsidRPr="00C44EE6">
              <w:rPr>
                <w:sz w:val="24"/>
                <w:lang w:val="ky-KG"/>
              </w:rPr>
              <w:t>Жалал-Абад</w:t>
            </w:r>
            <w:r w:rsidR="0064686A" w:rsidRPr="00C44EE6">
              <w:rPr>
                <w:sz w:val="24"/>
                <w:lang w:val="ky-KG"/>
              </w:rPr>
              <w:t xml:space="preserve"> облусунун акыркы беш жылдагы с</w:t>
            </w:r>
            <w:r w:rsidR="004E69B9" w:rsidRPr="00C44EE6">
              <w:rPr>
                <w:sz w:val="24"/>
                <w:lang w:val="ky-KG"/>
              </w:rPr>
              <w:t>оциал</w:t>
            </w:r>
            <w:r w:rsidR="0064686A" w:rsidRPr="00C44EE6">
              <w:rPr>
                <w:sz w:val="24"/>
                <w:lang w:val="ky-KG"/>
              </w:rPr>
              <w:t>дык</w:t>
            </w:r>
            <w:r w:rsidR="004E69B9" w:rsidRPr="00C44EE6">
              <w:rPr>
                <w:sz w:val="24"/>
                <w:lang w:val="ky-KG"/>
              </w:rPr>
              <w:t>-экономи</w:t>
            </w:r>
            <w:r w:rsidR="0064686A" w:rsidRPr="00C44EE6">
              <w:rPr>
                <w:sz w:val="24"/>
                <w:lang w:val="ky-KG"/>
              </w:rPr>
              <w:t xml:space="preserve">калык </w:t>
            </w:r>
            <w:r w:rsidR="00FB455B" w:rsidRPr="00C44EE6">
              <w:rPr>
                <w:sz w:val="24"/>
                <w:lang w:val="ky-KG"/>
              </w:rPr>
              <w:t>өнүгүүсү</w:t>
            </w:r>
            <w:r w:rsidR="0064686A" w:rsidRPr="00C44EE6">
              <w:rPr>
                <w:sz w:val="24"/>
                <w:lang w:val="ky-KG"/>
              </w:rPr>
              <w:t xml:space="preserve"> экономикабыздын туруктуу ө</w:t>
            </w:r>
            <w:r w:rsidR="00FB455B" w:rsidRPr="00C44EE6">
              <w:rPr>
                <w:sz w:val="24"/>
                <w:lang w:val="ky-KG"/>
              </w:rPr>
              <w:t>с</w:t>
            </w:r>
            <w:r w:rsidR="0064686A" w:rsidRPr="00C44EE6">
              <w:rPr>
                <w:sz w:val="24"/>
                <w:lang w:val="ky-KG"/>
              </w:rPr>
              <w:t>ү</w:t>
            </w:r>
            <w:r w:rsidR="00FB455B" w:rsidRPr="00C44EE6">
              <w:rPr>
                <w:sz w:val="24"/>
                <w:lang w:val="ky-KG"/>
              </w:rPr>
              <w:t>ш</w:t>
            </w:r>
            <w:r w:rsidR="0064686A" w:rsidRPr="00C44EE6">
              <w:rPr>
                <w:sz w:val="24"/>
                <w:lang w:val="ky-KG"/>
              </w:rPr>
              <w:t>үнө шарт түзүүгө жана жакырчылыкты азайтып калктын турмуш шартын жогорулатууга багытталган</w:t>
            </w:r>
            <w:r w:rsidR="004E69B9" w:rsidRPr="00C44EE6">
              <w:rPr>
                <w:sz w:val="24"/>
                <w:lang w:val="ky-KG"/>
              </w:rPr>
              <w:t>.</w:t>
            </w:r>
          </w:p>
        </w:tc>
        <w:tc>
          <w:tcPr>
            <w:tcW w:w="4820" w:type="dxa"/>
          </w:tcPr>
          <w:p w14:paraId="34DD2A4D" w14:textId="6452BC9C" w:rsidR="004E69B9" w:rsidRPr="00C44EE6" w:rsidRDefault="004E69B9" w:rsidP="00FA1544">
            <w:pPr>
              <w:ind w:firstLine="495"/>
              <w:jc w:val="both"/>
              <w:rPr>
                <w:rFonts w:ascii="Kyrghyz Times" w:hAnsi="Kyrghyz Times"/>
                <w:i/>
                <w:sz w:val="19"/>
                <w:szCs w:val="19"/>
              </w:rPr>
            </w:pPr>
            <w:r w:rsidRPr="00C44EE6">
              <w:rPr>
                <w:i/>
                <w:sz w:val="24"/>
              </w:rPr>
              <w:t xml:space="preserve">Социально-экономическое </w:t>
            </w:r>
            <w:proofErr w:type="gramStart"/>
            <w:r w:rsidRPr="00C44EE6">
              <w:rPr>
                <w:i/>
                <w:sz w:val="24"/>
              </w:rPr>
              <w:t xml:space="preserve">развитие  </w:t>
            </w:r>
            <w:r w:rsidR="00D868F3" w:rsidRPr="00C44EE6">
              <w:rPr>
                <w:i/>
                <w:sz w:val="24"/>
                <w:lang w:val="ky-KG"/>
              </w:rPr>
              <w:t>Джалал</w:t>
            </w:r>
            <w:proofErr w:type="gramEnd"/>
            <w:r w:rsidR="00D868F3" w:rsidRPr="00C44EE6">
              <w:rPr>
                <w:i/>
                <w:sz w:val="24"/>
                <w:lang w:val="ky-KG"/>
              </w:rPr>
              <w:t>-Абад</w:t>
            </w:r>
            <w:proofErr w:type="spellStart"/>
            <w:r w:rsidRPr="00C44EE6">
              <w:rPr>
                <w:i/>
                <w:sz w:val="24"/>
              </w:rPr>
              <w:t>ской</w:t>
            </w:r>
            <w:proofErr w:type="spellEnd"/>
            <w:r w:rsidRPr="00C44EE6">
              <w:rPr>
                <w:i/>
                <w:sz w:val="24"/>
              </w:rPr>
              <w:t xml:space="preserve"> области за последние пять лет нацелено на </w:t>
            </w:r>
            <w:proofErr w:type="gramStart"/>
            <w:r w:rsidRPr="00C44EE6">
              <w:rPr>
                <w:i/>
                <w:sz w:val="24"/>
              </w:rPr>
              <w:t>стабилизацию  экономики</w:t>
            </w:r>
            <w:proofErr w:type="gramEnd"/>
            <w:r w:rsidRPr="00C44EE6">
              <w:rPr>
                <w:i/>
                <w:sz w:val="24"/>
              </w:rPr>
              <w:t xml:space="preserve"> и создание необходимых условий для сокращения бедности и повышения уровня жизни населения.</w:t>
            </w:r>
          </w:p>
        </w:tc>
      </w:tr>
      <w:tr w:rsidR="001E4900" w:rsidRPr="00DC123A" w14:paraId="646451C4" w14:textId="77777777" w:rsidTr="004E69B9">
        <w:tc>
          <w:tcPr>
            <w:tcW w:w="4677" w:type="dxa"/>
          </w:tcPr>
          <w:p w14:paraId="443CC350" w14:textId="45C7B7D9" w:rsidR="00147155" w:rsidRPr="000B5BD3" w:rsidRDefault="00147155" w:rsidP="00D06E98">
            <w:pPr>
              <w:jc w:val="both"/>
              <w:rPr>
                <w:sz w:val="24"/>
                <w:szCs w:val="24"/>
                <w:lang w:val="ky-KG"/>
              </w:rPr>
            </w:pPr>
            <w:r w:rsidRPr="000B5BD3">
              <w:rPr>
                <w:sz w:val="24"/>
                <w:szCs w:val="24"/>
                <w:lang w:val="ky-KG"/>
              </w:rPr>
              <w:t>20</w:t>
            </w:r>
            <w:r w:rsidRPr="000B5BD3">
              <w:rPr>
                <w:sz w:val="24"/>
                <w:szCs w:val="24"/>
              </w:rPr>
              <w:t>24</w:t>
            </w:r>
            <w:r w:rsidRPr="000B5BD3">
              <w:rPr>
                <w:sz w:val="24"/>
                <w:szCs w:val="24"/>
                <w:lang w:val="ky-KG"/>
              </w:rPr>
              <w:t>-жылдын башына карата эсептик маалыматтар боюнча Жалал-Абад облусунун бар калкынын саны 11</w:t>
            </w:r>
            <w:r w:rsidR="00690241" w:rsidRPr="000B5BD3">
              <w:rPr>
                <w:sz w:val="24"/>
                <w:szCs w:val="24"/>
                <w:lang w:val="ky-KG"/>
              </w:rPr>
              <w:t>32,7</w:t>
            </w:r>
            <w:r w:rsidRPr="000B5BD3">
              <w:rPr>
                <w:sz w:val="24"/>
                <w:szCs w:val="24"/>
                <w:lang w:val="ky-KG"/>
              </w:rPr>
              <w:t xml:space="preserve"> миң адамды, ал эми туруктуу калк 13</w:t>
            </w:r>
            <w:r w:rsidR="00690241" w:rsidRPr="000B5BD3">
              <w:rPr>
                <w:sz w:val="24"/>
                <w:szCs w:val="24"/>
                <w:lang w:val="ky-KG"/>
              </w:rPr>
              <w:t>58,5</w:t>
            </w:r>
            <w:r w:rsidRPr="000B5BD3">
              <w:rPr>
                <w:sz w:val="24"/>
                <w:szCs w:val="24"/>
                <w:lang w:val="ky-KG"/>
              </w:rPr>
              <w:t xml:space="preserve"> миң адамды түздү. Алардын ичинен </w:t>
            </w:r>
            <w:r w:rsidR="00690241" w:rsidRPr="000B5BD3">
              <w:rPr>
                <w:sz w:val="24"/>
                <w:szCs w:val="24"/>
                <w:lang w:val="ky-KG"/>
              </w:rPr>
              <w:t>66,9</w:t>
            </w:r>
            <w:r w:rsidRPr="000B5BD3">
              <w:rPr>
                <w:sz w:val="24"/>
                <w:szCs w:val="24"/>
                <w:lang w:val="ky-KG"/>
              </w:rPr>
              <w:t xml:space="preserve"> пайызы айыл конуштарда ал эми шаар конуштарында </w:t>
            </w:r>
            <w:r w:rsidR="00690241" w:rsidRPr="000B5BD3">
              <w:rPr>
                <w:sz w:val="24"/>
                <w:szCs w:val="24"/>
                <w:lang w:val="ky-KG"/>
              </w:rPr>
              <w:t>33,1</w:t>
            </w:r>
            <w:r w:rsidRPr="000B5BD3">
              <w:rPr>
                <w:sz w:val="24"/>
                <w:szCs w:val="24"/>
                <w:lang w:val="ky-KG"/>
              </w:rPr>
              <w:t xml:space="preserve"> пайыз жашагандар,</w:t>
            </w:r>
          </w:p>
          <w:p w14:paraId="310032A2" w14:textId="1E9E4818" w:rsidR="001E4900" w:rsidRPr="000B5BD3" w:rsidRDefault="001E4900" w:rsidP="00D06E98">
            <w:pPr>
              <w:jc w:val="both"/>
              <w:rPr>
                <w:sz w:val="24"/>
                <w:szCs w:val="24"/>
                <w:lang w:val="ky-KG"/>
              </w:rPr>
            </w:pPr>
            <w:r w:rsidRPr="000B5BD3">
              <w:rPr>
                <w:sz w:val="24"/>
                <w:szCs w:val="24"/>
                <w:lang w:val="ky-KG"/>
              </w:rPr>
              <w:t>20</w:t>
            </w:r>
            <w:r w:rsidR="00690241" w:rsidRPr="000B5BD3">
              <w:rPr>
                <w:sz w:val="24"/>
                <w:szCs w:val="24"/>
                <w:lang w:val="ky-KG"/>
              </w:rPr>
              <w:t>20</w:t>
            </w:r>
            <w:r w:rsidRPr="000B5BD3">
              <w:rPr>
                <w:sz w:val="24"/>
                <w:szCs w:val="24"/>
                <w:lang w:val="ky-KG"/>
              </w:rPr>
              <w:t>-202</w:t>
            </w:r>
            <w:r w:rsidR="00690241" w:rsidRPr="000B5BD3">
              <w:rPr>
                <w:sz w:val="24"/>
                <w:szCs w:val="24"/>
                <w:lang w:val="ky-KG"/>
              </w:rPr>
              <w:t>4</w:t>
            </w:r>
            <w:r w:rsidRPr="000B5BD3">
              <w:rPr>
                <w:sz w:val="24"/>
                <w:szCs w:val="24"/>
                <w:lang w:val="ky-KG"/>
              </w:rPr>
              <w:t xml:space="preserve">-жж. туруктуу калктын саны </w:t>
            </w:r>
            <w:r w:rsidR="00D06E98" w:rsidRPr="000B5BD3">
              <w:rPr>
                <w:sz w:val="24"/>
                <w:szCs w:val="24"/>
                <w:lang w:val="ky-KG"/>
              </w:rPr>
              <w:t>9</w:t>
            </w:r>
            <w:r w:rsidR="00DA6548" w:rsidRPr="000B5BD3">
              <w:rPr>
                <w:sz w:val="24"/>
                <w:szCs w:val="24"/>
                <w:lang w:val="ky-KG"/>
              </w:rPr>
              <w:t>7</w:t>
            </w:r>
            <w:r w:rsidRPr="000B5BD3">
              <w:rPr>
                <w:sz w:val="24"/>
                <w:szCs w:val="24"/>
                <w:lang w:val="ky-KG"/>
              </w:rPr>
              <w:t xml:space="preserve"> миң адамга</w:t>
            </w:r>
            <w:r w:rsidR="00A94982" w:rsidRPr="000B5BD3">
              <w:rPr>
                <w:sz w:val="24"/>
                <w:szCs w:val="24"/>
                <w:lang w:val="ky-KG"/>
              </w:rPr>
              <w:t>,</w:t>
            </w:r>
            <w:r w:rsidRPr="000B5BD3">
              <w:rPr>
                <w:sz w:val="24"/>
                <w:szCs w:val="24"/>
                <w:lang w:val="ky-KG"/>
              </w:rPr>
              <w:t xml:space="preserve"> же </w:t>
            </w:r>
            <w:r w:rsidR="007444CE" w:rsidRPr="000B5BD3">
              <w:rPr>
                <w:sz w:val="24"/>
                <w:szCs w:val="24"/>
                <w:lang w:val="ky-KG"/>
              </w:rPr>
              <w:t>7</w:t>
            </w:r>
            <w:r w:rsidRPr="000B5BD3">
              <w:rPr>
                <w:sz w:val="24"/>
                <w:szCs w:val="24"/>
                <w:lang w:val="ky-KG"/>
              </w:rPr>
              <w:t>,</w:t>
            </w:r>
            <w:r w:rsidR="00DA6548" w:rsidRPr="000B5BD3">
              <w:rPr>
                <w:sz w:val="24"/>
                <w:szCs w:val="24"/>
                <w:lang w:val="ky-KG"/>
              </w:rPr>
              <w:t>8</w:t>
            </w:r>
            <w:r w:rsidRPr="000B5BD3">
              <w:rPr>
                <w:sz w:val="24"/>
                <w:szCs w:val="24"/>
                <w:lang w:val="ky-KG"/>
              </w:rPr>
              <w:t xml:space="preserve">  пайызга көбөйдү.    </w:t>
            </w:r>
          </w:p>
        </w:tc>
        <w:tc>
          <w:tcPr>
            <w:tcW w:w="4820" w:type="dxa"/>
          </w:tcPr>
          <w:p w14:paraId="5F5F07B9" w14:textId="30643FD8" w:rsidR="00147155" w:rsidRPr="00C44EE6" w:rsidRDefault="008C3420" w:rsidP="0004626A">
            <w:pPr>
              <w:jc w:val="both"/>
              <w:rPr>
                <w:i/>
                <w:sz w:val="24"/>
                <w:szCs w:val="24"/>
              </w:rPr>
            </w:pPr>
            <w:r w:rsidRPr="00C44EE6">
              <w:rPr>
                <w:sz w:val="24"/>
                <w:szCs w:val="24"/>
              </w:rPr>
              <w:t xml:space="preserve">Численность наличного населения </w:t>
            </w:r>
            <w:r w:rsidRPr="00C44EE6">
              <w:rPr>
                <w:sz w:val="24"/>
                <w:szCs w:val="24"/>
                <w:lang w:val="ky-KG"/>
              </w:rPr>
              <w:t>Джалал-Аба</w:t>
            </w:r>
            <w:proofErr w:type="spellStart"/>
            <w:r w:rsidRPr="00C44EE6">
              <w:rPr>
                <w:sz w:val="24"/>
                <w:szCs w:val="24"/>
              </w:rPr>
              <w:t>ской</w:t>
            </w:r>
            <w:proofErr w:type="spellEnd"/>
            <w:r w:rsidRPr="00C44EE6">
              <w:rPr>
                <w:sz w:val="24"/>
                <w:szCs w:val="24"/>
              </w:rPr>
              <w:t xml:space="preserve"> области на начало 20</w:t>
            </w:r>
            <w:r w:rsidRPr="00C44EE6">
              <w:rPr>
                <w:sz w:val="24"/>
                <w:szCs w:val="24"/>
                <w:lang w:val="ky-KG"/>
              </w:rPr>
              <w:t>24</w:t>
            </w:r>
            <w:r w:rsidRPr="00C44EE6">
              <w:rPr>
                <w:sz w:val="24"/>
                <w:szCs w:val="24"/>
              </w:rPr>
              <w:t xml:space="preserve"> года составила </w:t>
            </w:r>
            <w:r w:rsidRPr="00C44EE6">
              <w:rPr>
                <w:sz w:val="24"/>
                <w:szCs w:val="24"/>
                <w:lang w:val="ky-KG"/>
              </w:rPr>
              <w:t>11</w:t>
            </w:r>
            <w:r w:rsidR="00690241" w:rsidRPr="00C44EE6">
              <w:rPr>
                <w:sz w:val="24"/>
                <w:szCs w:val="24"/>
                <w:lang w:val="ky-KG"/>
              </w:rPr>
              <w:t>32,7</w:t>
            </w:r>
            <w:r w:rsidRPr="00C44EE6">
              <w:rPr>
                <w:sz w:val="24"/>
                <w:szCs w:val="24"/>
              </w:rPr>
              <w:t xml:space="preserve"> тыс. человек, постоянного населения- </w:t>
            </w:r>
            <w:r w:rsidRPr="00C44EE6">
              <w:rPr>
                <w:sz w:val="24"/>
                <w:szCs w:val="24"/>
                <w:lang w:val="ky-KG"/>
              </w:rPr>
              <w:t>13</w:t>
            </w:r>
            <w:r w:rsidR="00690241" w:rsidRPr="00C44EE6">
              <w:rPr>
                <w:sz w:val="24"/>
                <w:szCs w:val="24"/>
                <w:lang w:val="ky-KG"/>
              </w:rPr>
              <w:t>58</w:t>
            </w:r>
            <w:r w:rsidRPr="00C44EE6">
              <w:rPr>
                <w:sz w:val="24"/>
                <w:szCs w:val="24"/>
              </w:rPr>
              <w:t>,</w:t>
            </w:r>
            <w:r w:rsidR="00690241" w:rsidRPr="00C44EE6">
              <w:rPr>
                <w:sz w:val="24"/>
                <w:szCs w:val="24"/>
              </w:rPr>
              <w:t>5</w:t>
            </w:r>
            <w:r w:rsidRPr="00C44EE6">
              <w:rPr>
                <w:sz w:val="24"/>
                <w:szCs w:val="24"/>
              </w:rPr>
              <w:t xml:space="preserve"> тыс. человек. Из них </w:t>
            </w:r>
            <w:r w:rsidR="00690241" w:rsidRPr="00C44EE6">
              <w:rPr>
                <w:sz w:val="24"/>
                <w:szCs w:val="24"/>
              </w:rPr>
              <w:t>66,96</w:t>
            </w:r>
            <w:r w:rsidRPr="00C44EE6">
              <w:rPr>
                <w:sz w:val="24"/>
                <w:szCs w:val="24"/>
              </w:rPr>
              <w:t xml:space="preserve"> процентов проживало в селах, а </w:t>
            </w:r>
            <w:r w:rsidR="00690241" w:rsidRPr="00C44EE6">
              <w:rPr>
                <w:sz w:val="24"/>
                <w:szCs w:val="24"/>
              </w:rPr>
              <w:t>33,1</w:t>
            </w:r>
            <w:r w:rsidRPr="00C44EE6">
              <w:rPr>
                <w:sz w:val="24"/>
                <w:szCs w:val="24"/>
              </w:rPr>
              <w:t xml:space="preserve"> процента в городских поселениях.</w:t>
            </w:r>
          </w:p>
          <w:p w14:paraId="6FA33CE7" w14:textId="4F12042A" w:rsidR="001E4900" w:rsidRPr="00C44EE6" w:rsidRDefault="001E4900" w:rsidP="0004626A">
            <w:pPr>
              <w:jc w:val="both"/>
              <w:rPr>
                <w:i/>
                <w:sz w:val="24"/>
                <w:szCs w:val="24"/>
              </w:rPr>
            </w:pPr>
            <w:r w:rsidRPr="000B5BD3">
              <w:rPr>
                <w:i/>
                <w:sz w:val="24"/>
                <w:szCs w:val="24"/>
              </w:rPr>
              <w:t>За 20</w:t>
            </w:r>
            <w:r w:rsidR="00690241" w:rsidRPr="000B5BD3">
              <w:rPr>
                <w:i/>
                <w:sz w:val="24"/>
                <w:szCs w:val="24"/>
              </w:rPr>
              <w:t>20</w:t>
            </w:r>
            <w:r w:rsidRPr="000B5BD3">
              <w:rPr>
                <w:i/>
                <w:sz w:val="24"/>
                <w:szCs w:val="24"/>
              </w:rPr>
              <w:t>-20</w:t>
            </w:r>
            <w:r w:rsidRPr="000B5BD3">
              <w:rPr>
                <w:i/>
                <w:sz w:val="24"/>
                <w:szCs w:val="24"/>
                <w:lang w:val="ky-KG"/>
              </w:rPr>
              <w:t>2</w:t>
            </w:r>
            <w:r w:rsidR="00690241" w:rsidRPr="000B5BD3">
              <w:rPr>
                <w:i/>
                <w:sz w:val="24"/>
                <w:szCs w:val="24"/>
                <w:lang w:val="ky-KG"/>
              </w:rPr>
              <w:t>4</w:t>
            </w:r>
            <w:proofErr w:type="spellStart"/>
            <w:r w:rsidRPr="000B5BD3">
              <w:rPr>
                <w:i/>
                <w:sz w:val="24"/>
                <w:szCs w:val="24"/>
              </w:rPr>
              <w:t>гг</w:t>
            </w:r>
            <w:proofErr w:type="spellEnd"/>
            <w:r w:rsidRPr="000B5BD3">
              <w:rPr>
                <w:i/>
                <w:sz w:val="24"/>
                <w:szCs w:val="24"/>
                <w:lang w:val="ky-KG"/>
              </w:rPr>
              <w:t>.</w:t>
            </w:r>
            <w:r w:rsidRPr="000B5BD3">
              <w:rPr>
                <w:i/>
                <w:sz w:val="24"/>
                <w:szCs w:val="24"/>
              </w:rPr>
              <w:t xml:space="preserve"> </w:t>
            </w:r>
            <w:r w:rsidR="0004626A" w:rsidRPr="000B5BD3">
              <w:rPr>
                <w:i/>
                <w:sz w:val="24"/>
                <w:szCs w:val="24"/>
                <w:lang w:val="ky-KG"/>
              </w:rPr>
              <w:t>п</w:t>
            </w:r>
            <w:proofErr w:type="spellStart"/>
            <w:r w:rsidRPr="000B5BD3">
              <w:rPr>
                <w:i/>
                <w:sz w:val="24"/>
                <w:szCs w:val="24"/>
              </w:rPr>
              <w:t>роизошло</w:t>
            </w:r>
            <w:proofErr w:type="spellEnd"/>
            <w:r w:rsidRPr="000B5BD3">
              <w:rPr>
                <w:i/>
                <w:sz w:val="24"/>
                <w:szCs w:val="24"/>
              </w:rPr>
              <w:t xml:space="preserve"> увеличение численности постоянного населения на </w:t>
            </w:r>
            <w:r w:rsidRPr="000B5BD3">
              <w:rPr>
                <w:i/>
                <w:sz w:val="24"/>
                <w:szCs w:val="24"/>
                <w:lang w:val="ky-KG"/>
              </w:rPr>
              <w:t>9</w:t>
            </w:r>
            <w:r w:rsidR="004368A8" w:rsidRPr="000B5BD3">
              <w:rPr>
                <w:i/>
                <w:sz w:val="24"/>
                <w:szCs w:val="24"/>
                <w:lang w:val="ky-KG"/>
              </w:rPr>
              <w:t>7</w:t>
            </w:r>
            <w:r w:rsidRPr="000B5BD3">
              <w:rPr>
                <w:i/>
                <w:sz w:val="24"/>
                <w:szCs w:val="24"/>
              </w:rPr>
              <w:t xml:space="preserve"> тыс. человек или на </w:t>
            </w:r>
            <w:r w:rsidR="007444CE" w:rsidRPr="000B5BD3">
              <w:rPr>
                <w:i/>
                <w:sz w:val="24"/>
                <w:szCs w:val="24"/>
                <w:lang w:val="ky-KG"/>
              </w:rPr>
              <w:t>7</w:t>
            </w:r>
            <w:r w:rsidRPr="000B5BD3">
              <w:rPr>
                <w:i/>
                <w:sz w:val="24"/>
                <w:szCs w:val="24"/>
              </w:rPr>
              <w:t>,</w:t>
            </w:r>
            <w:proofErr w:type="gramStart"/>
            <w:r w:rsidR="004368A8" w:rsidRPr="000B5BD3">
              <w:rPr>
                <w:i/>
                <w:sz w:val="24"/>
                <w:szCs w:val="24"/>
              </w:rPr>
              <w:t>8</w:t>
            </w:r>
            <w:r w:rsidRPr="000B5BD3">
              <w:rPr>
                <w:i/>
                <w:sz w:val="24"/>
                <w:szCs w:val="24"/>
              </w:rPr>
              <w:t xml:space="preserve">  процента</w:t>
            </w:r>
            <w:proofErr w:type="gramEnd"/>
            <w:r w:rsidRPr="000B5BD3">
              <w:rPr>
                <w:i/>
                <w:sz w:val="24"/>
                <w:szCs w:val="24"/>
              </w:rPr>
              <w:t>.</w:t>
            </w:r>
          </w:p>
        </w:tc>
      </w:tr>
      <w:tr w:rsidR="00AC3F90" w:rsidRPr="00DC123A" w14:paraId="5743883D" w14:textId="77777777" w:rsidTr="004E69B9">
        <w:tc>
          <w:tcPr>
            <w:tcW w:w="4677" w:type="dxa"/>
          </w:tcPr>
          <w:p w14:paraId="77A1C31C" w14:textId="445CA23A" w:rsidR="00AC3F90" w:rsidRPr="00C44EE6" w:rsidRDefault="00AC3F90" w:rsidP="00AC3F90">
            <w:pPr>
              <w:jc w:val="both"/>
              <w:rPr>
                <w:b/>
                <w:i/>
                <w:color w:val="000000" w:themeColor="text1"/>
                <w:sz w:val="24"/>
                <w:szCs w:val="24"/>
                <w:lang w:val="ky-KG"/>
              </w:rPr>
            </w:pPr>
            <w:r w:rsidRPr="00C44EE6">
              <w:rPr>
                <w:b/>
                <w:color w:val="000000" w:themeColor="text1"/>
                <w:sz w:val="24"/>
                <w:szCs w:val="24"/>
                <w:lang w:val="ky-KG"/>
              </w:rPr>
              <w:t xml:space="preserve">       </w:t>
            </w:r>
            <w:r w:rsidRPr="00C44EE6">
              <w:rPr>
                <w:color w:val="000000" w:themeColor="text1"/>
                <w:sz w:val="24"/>
                <w:szCs w:val="24"/>
                <w:lang w:val="ky-KG"/>
              </w:rPr>
              <w:t>202</w:t>
            </w:r>
            <w:r w:rsidR="001F2DD1" w:rsidRPr="00C44EE6">
              <w:rPr>
                <w:color w:val="000000" w:themeColor="text1"/>
                <w:sz w:val="24"/>
                <w:szCs w:val="24"/>
                <w:lang w:val="ky-KG"/>
              </w:rPr>
              <w:t>4</w:t>
            </w:r>
            <w:r w:rsidRPr="00C44EE6">
              <w:rPr>
                <w:color w:val="000000" w:themeColor="text1"/>
                <w:sz w:val="24"/>
                <w:szCs w:val="24"/>
                <w:lang w:val="ky-KG"/>
              </w:rPr>
              <w:t>-жылы өнөр-жай ишканалары тарабынан  (анын ичинде чакан  ишканалар жана өнөр-жай менен алектенген жеке ишкерлер) 5</w:t>
            </w:r>
            <w:r w:rsidR="001F2DD1" w:rsidRPr="00C44EE6">
              <w:rPr>
                <w:color w:val="000000" w:themeColor="text1"/>
                <w:sz w:val="24"/>
                <w:szCs w:val="24"/>
                <w:lang w:val="ky-KG"/>
              </w:rPr>
              <w:t>8354,1</w:t>
            </w:r>
            <w:r w:rsidRPr="00C44EE6">
              <w:rPr>
                <w:color w:val="000000" w:themeColor="text1"/>
                <w:sz w:val="24"/>
                <w:szCs w:val="24"/>
                <w:lang w:val="ky-KG"/>
              </w:rPr>
              <w:t xml:space="preserve"> </w:t>
            </w:r>
            <w:r w:rsidR="002B1EF0" w:rsidRPr="00C44EE6">
              <w:rPr>
                <w:color w:val="000000" w:themeColor="text1"/>
                <w:sz w:val="24"/>
                <w:szCs w:val="24"/>
                <w:lang w:val="ky-KG"/>
              </w:rPr>
              <w:t>млн.</w:t>
            </w:r>
            <w:r w:rsidRPr="00C44EE6">
              <w:rPr>
                <w:color w:val="000000" w:themeColor="text1"/>
                <w:sz w:val="24"/>
                <w:szCs w:val="24"/>
                <w:lang w:val="ky-KG"/>
              </w:rPr>
              <w:t>сомго продукция өндүрүлдү, физикалык көлөмдүн индекси  салыштырмалуу  1</w:t>
            </w:r>
            <w:r w:rsidR="001B469F" w:rsidRPr="00C44EE6">
              <w:rPr>
                <w:color w:val="000000" w:themeColor="text1"/>
                <w:sz w:val="24"/>
                <w:szCs w:val="24"/>
                <w:lang w:val="ky-KG"/>
              </w:rPr>
              <w:t>12,4</w:t>
            </w:r>
            <w:r w:rsidRPr="00C44EE6">
              <w:rPr>
                <w:color w:val="000000" w:themeColor="text1"/>
                <w:sz w:val="24"/>
                <w:szCs w:val="24"/>
                <w:lang w:val="ky-KG"/>
              </w:rPr>
              <w:t xml:space="preserve"> пайызды түздү.</w:t>
            </w:r>
          </w:p>
        </w:tc>
        <w:tc>
          <w:tcPr>
            <w:tcW w:w="4820" w:type="dxa"/>
          </w:tcPr>
          <w:p w14:paraId="13C7137E" w14:textId="03EAF7D5" w:rsidR="00AC3F90" w:rsidRPr="00C44EE6" w:rsidRDefault="00AC3F90" w:rsidP="00AC3F90">
            <w:pPr>
              <w:jc w:val="both"/>
              <w:rPr>
                <w:b/>
                <w:i/>
                <w:color w:val="000000" w:themeColor="text1"/>
                <w:sz w:val="24"/>
                <w:szCs w:val="24"/>
              </w:rPr>
            </w:pPr>
            <w:r w:rsidRPr="00C44EE6">
              <w:rPr>
                <w:i/>
                <w:color w:val="000000" w:themeColor="text1"/>
                <w:sz w:val="24"/>
                <w:szCs w:val="24"/>
                <w:lang w:val="ky-KG"/>
              </w:rPr>
              <w:t xml:space="preserve">       </w:t>
            </w:r>
            <w:r w:rsidRPr="00C44EE6">
              <w:rPr>
                <w:i/>
                <w:color w:val="000000" w:themeColor="text1"/>
                <w:sz w:val="24"/>
                <w:szCs w:val="24"/>
              </w:rPr>
              <w:t>В 20</w:t>
            </w:r>
            <w:r w:rsidRPr="00C44EE6">
              <w:rPr>
                <w:i/>
                <w:color w:val="000000" w:themeColor="text1"/>
                <w:sz w:val="24"/>
                <w:szCs w:val="24"/>
                <w:lang w:val="ky-KG"/>
              </w:rPr>
              <w:t>2</w:t>
            </w:r>
            <w:r w:rsidR="001B469F" w:rsidRPr="00C44EE6">
              <w:rPr>
                <w:i/>
                <w:color w:val="000000" w:themeColor="text1"/>
                <w:sz w:val="24"/>
                <w:szCs w:val="24"/>
                <w:lang w:val="ky-KG"/>
              </w:rPr>
              <w:t>4</w:t>
            </w:r>
            <w:r w:rsidRPr="00C44EE6">
              <w:rPr>
                <w:i/>
                <w:color w:val="000000" w:themeColor="text1"/>
                <w:sz w:val="24"/>
                <w:szCs w:val="24"/>
              </w:rPr>
              <w:t xml:space="preserve"> году промышленными предприятиями области (включая малые</w:t>
            </w:r>
            <w:r w:rsidRPr="00C44EE6">
              <w:rPr>
                <w:i/>
                <w:color w:val="000000" w:themeColor="text1"/>
                <w:sz w:val="24"/>
                <w:szCs w:val="24"/>
                <w:lang w:val="ky-KG"/>
              </w:rPr>
              <w:t xml:space="preserve"> </w:t>
            </w:r>
            <w:r w:rsidRPr="00C44EE6">
              <w:rPr>
                <w:i/>
                <w:color w:val="000000" w:themeColor="text1"/>
                <w:sz w:val="24"/>
                <w:szCs w:val="24"/>
              </w:rPr>
              <w:t xml:space="preserve">и промышленную деятельность индивидуальных предпринимателей) произведено продукции на сумму </w:t>
            </w:r>
            <w:r w:rsidRPr="00C44EE6">
              <w:rPr>
                <w:i/>
                <w:color w:val="000000" w:themeColor="text1"/>
                <w:sz w:val="24"/>
                <w:szCs w:val="24"/>
                <w:lang w:val="ky-KG"/>
              </w:rPr>
              <w:t>5</w:t>
            </w:r>
            <w:r w:rsidR="001B469F" w:rsidRPr="00C44EE6">
              <w:rPr>
                <w:i/>
                <w:color w:val="000000" w:themeColor="text1"/>
                <w:sz w:val="24"/>
                <w:szCs w:val="24"/>
                <w:lang w:val="ky-KG"/>
              </w:rPr>
              <w:t>8354,1</w:t>
            </w:r>
            <w:r w:rsidRPr="00C44EE6">
              <w:rPr>
                <w:i/>
                <w:color w:val="000000" w:themeColor="text1"/>
                <w:sz w:val="24"/>
                <w:szCs w:val="24"/>
              </w:rPr>
              <w:t xml:space="preserve"> млн. сомов, индекс физического объема к </w:t>
            </w:r>
            <w:proofErr w:type="gramStart"/>
            <w:r w:rsidRPr="00C44EE6">
              <w:rPr>
                <w:i/>
                <w:color w:val="000000" w:themeColor="text1"/>
                <w:sz w:val="24"/>
                <w:szCs w:val="24"/>
              </w:rPr>
              <w:t>уровню  составил</w:t>
            </w:r>
            <w:proofErr w:type="gramEnd"/>
            <w:r w:rsidRPr="00C44EE6">
              <w:rPr>
                <w:i/>
                <w:color w:val="000000" w:themeColor="text1"/>
                <w:sz w:val="24"/>
                <w:szCs w:val="24"/>
              </w:rPr>
              <w:t xml:space="preserve"> </w:t>
            </w:r>
            <w:r w:rsidRPr="00C44EE6">
              <w:rPr>
                <w:i/>
                <w:color w:val="000000" w:themeColor="text1"/>
                <w:sz w:val="24"/>
                <w:szCs w:val="24"/>
                <w:lang w:val="ky-KG"/>
              </w:rPr>
              <w:t>1</w:t>
            </w:r>
            <w:r w:rsidR="001B469F" w:rsidRPr="00C44EE6">
              <w:rPr>
                <w:i/>
                <w:color w:val="000000" w:themeColor="text1"/>
                <w:sz w:val="24"/>
                <w:szCs w:val="24"/>
                <w:lang w:val="ky-KG"/>
              </w:rPr>
              <w:t>12,4</w:t>
            </w:r>
            <w:r w:rsidRPr="00C44EE6">
              <w:rPr>
                <w:i/>
                <w:color w:val="000000" w:themeColor="text1"/>
                <w:sz w:val="24"/>
                <w:szCs w:val="24"/>
              </w:rPr>
              <w:t xml:space="preserve"> процента</w:t>
            </w:r>
          </w:p>
        </w:tc>
      </w:tr>
      <w:tr w:rsidR="00AC3F90" w:rsidRPr="00DC123A" w14:paraId="3C02C94B" w14:textId="77777777" w:rsidTr="004E69B9">
        <w:tc>
          <w:tcPr>
            <w:tcW w:w="4677" w:type="dxa"/>
          </w:tcPr>
          <w:p w14:paraId="54CE603B" w14:textId="58BB3843" w:rsidR="00FD6BE7" w:rsidRPr="00C44EE6" w:rsidRDefault="00AC3F90" w:rsidP="00662930">
            <w:pPr>
              <w:jc w:val="both"/>
              <w:rPr>
                <w:color w:val="000000" w:themeColor="text1"/>
                <w:sz w:val="24"/>
                <w:szCs w:val="24"/>
                <w:lang w:val="ky-KG"/>
              </w:rPr>
            </w:pPr>
            <w:r w:rsidRPr="00C44EE6">
              <w:rPr>
                <w:color w:val="000000" w:themeColor="text1"/>
                <w:sz w:val="24"/>
                <w:szCs w:val="24"/>
                <w:lang w:val="ky-KG"/>
              </w:rPr>
              <w:t xml:space="preserve">       Айыл чарбасынын, токой чарбасынын жана балык уулоочулуктун дүң чыгарылышынын көлөмү 202</w:t>
            </w:r>
            <w:r w:rsidR="00D17DFD" w:rsidRPr="00C44EE6">
              <w:rPr>
                <w:color w:val="000000" w:themeColor="text1"/>
                <w:sz w:val="24"/>
                <w:szCs w:val="24"/>
                <w:lang w:val="ky-KG"/>
              </w:rPr>
              <w:t>4</w:t>
            </w:r>
            <w:r w:rsidRPr="00C44EE6">
              <w:rPr>
                <w:color w:val="000000" w:themeColor="text1"/>
                <w:sz w:val="24"/>
                <w:szCs w:val="24"/>
                <w:lang w:val="ky-KG"/>
              </w:rPr>
              <w:t xml:space="preserve">-жылы жалпысынан облус боюнча </w:t>
            </w:r>
            <w:r w:rsidR="00D17DFD" w:rsidRPr="00C44EE6">
              <w:rPr>
                <w:color w:val="000000" w:themeColor="text1"/>
                <w:sz w:val="24"/>
                <w:szCs w:val="24"/>
                <w:lang w:val="ky-KG"/>
              </w:rPr>
              <w:t>76302,6</w:t>
            </w:r>
            <w:r w:rsidRPr="00C44EE6">
              <w:rPr>
                <w:color w:val="000000" w:themeColor="text1"/>
                <w:sz w:val="24"/>
                <w:szCs w:val="24"/>
                <w:lang w:val="ky-KG"/>
              </w:rPr>
              <w:t xml:space="preserve"> млн. сомду түздү. Физикалык көлөмдүн индекси  салыштыр</w:t>
            </w:r>
            <w:r w:rsidR="00A80D23" w:rsidRPr="00C44EE6">
              <w:rPr>
                <w:color w:val="000000" w:themeColor="text1"/>
                <w:sz w:val="24"/>
                <w:szCs w:val="24"/>
                <w:lang w:val="ky-KG"/>
              </w:rPr>
              <w:t>малуу</w:t>
            </w:r>
            <w:r w:rsidRPr="00C44EE6">
              <w:rPr>
                <w:color w:val="000000" w:themeColor="text1"/>
                <w:sz w:val="24"/>
                <w:szCs w:val="24"/>
                <w:lang w:val="ky-KG"/>
              </w:rPr>
              <w:t xml:space="preserve"> 1</w:t>
            </w:r>
            <w:r w:rsidR="00A80D23" w:rsidRPr="00C44EE6">
              <w:rPr>
                <w:color w:val="000000" w:themeColor="text1"/>
                <w:sz w:val="24"/>
                <w:szCs w:val="24"/>
                <w:lang w:val="ky-KG"/>
              </w:rPr>
              <w:t>0</w:t>
            </w:r>
            <w:r w:rsidR="00D17DFD" w:rsidRPr="00C44EE6">
              <w:rPr>
                <w:color w:val="000000" w:themeColor="text1"/>
                <w:sz w:val="24"/>
                <w:szCs w:val="24"/>
                <w:lang w:val="ky-KG"/>
              </w:rPr>
              <w:t>4,3</w:t>
            </w:r>
            <w:r w:rsidRPr="00C44EE6">
              <w:rPr>
                <w:color w:val="000000" w:themeColor="text1"/>
                <w:sz w:val="24"/>
                <w:szCs w:val="24"/>
                <w:lang w:val="ky-KG"/>
              </w:rPr>
              <w:t xml:space="preserve"> пайыз</w:t>
            </w:r>
            <w:r w:rsidR="00A80D23" w:rsidRPr="00C44EE6">
              <w:rPr>
                <w:color w:val="000000" w:themeColor="text1"/>
                <w:sz w:val="24"/>
                <w:szCs w:val="24"/>
                <w:lang w:val="ky-KG"/>
              </w:rPr>
              <w:t>ды түздү.</w:t>
            </w:r>
          </w:p>
        </w:tc>
        <w:tc>
          <w:tcPr>
            <w:tcW w:w="4820" w:type="dxa"/>
          </w:tcPr>
          <w:p w14:paraId="0C4E89A2" w14:textId="6497358E" w:rsidR="00AC3F90" w:rsidRPr="00C44EE6" w:rsidRDefault="00AC3F90" w:rsidP="00AC3F90">
            <w:pPr>
              <w:jc w:val="both"/>
              <w:rPr>
                <w:i/>
                <w:color w:val="000000" w:themeColor="text1"/>
                <w:sz w:val="24"/>
                <w:szCs w:val="24"/>
              </w:rPr>
            </w:pPr>
            <w:r w:rsidRPr="00C44EE6">
              <w:rPr>
                <w:i/>
                <w:color w:val="000000" w:themeColor="text1"/>
                <w:sz w:val="24"/>
                <w:szCs w:val="24"/>
                <w:lang w:val="ky-KG"/>
              </w:rPr>
              <w:t xml:space="preserve">     </w:t>
            </w:r>
            <w:r w:rsidRPr="00C44EE6">
              <w:rPr>
                <w:i/>
                <w:color w:val="000000" w:themeColor="text1"/>
                <w:sz w:val="24"/>
                <w:szCs w:val="24"/>
              </w:rPr>
              <w:t>Объем валового выпуска сельского хозяйства, лесного хозяйства</w:t>
            </w:r>
            <w:r w:rsidRPr="00C44EE6">
              <w:rPr>
                <w:i/>
                <w:color w:val="000000" w:themeColor="text1"/>
                <w:sz w:val="24"/>
                <w:szCs w:val="24"/>
                <w:lang w:val="ky-KG"/>
              </w:rPr>
              <w:t xml:space="preserve"> и рыболовства</w:t>
            </w:r>
            <w:r w:rsidRPr="00C44EE6">
              <w:rPr>
                <w:i/>
                <w:color w:val="000000" w:themeColor="text1"/>
                <w:sz w:val="24"/>
                <w:szCs w:val="24"/>
              </w:rPr>
              <w:t xml:space="preserve"> за 20</w:t>
            </w:r>
            <w:r w:rsidRPr="00C44EE6">
              <w:rPr>
                <w:i/>
                <w:color w:val="000000" w:themeColor="text1"/>
                <w:sz w:val="24"/>
                <w:szCs w:val="24"/>
                <w:lang w:val="ky-KG"/>
              </w:rPr>
              <w:t>2</w:t>
            </w:r>
            <w:r w:rsidR="00D17DFD" w:rsidRPr="00C44EE6">
              <w:rPr>
                <w:i/>
                <w:color w:val="000000" w:themeColor="text1"/>
                <w:sz w:val="24"/>
                <w:szCs w:val="24"/>
                <w:lang w:val="ky-KG"/>
              </w:rPr>
              <w:t>4</w:t>
            </w:r>
            <w:r w:rsidRPr="00C44EE6">
              <w:rPr>
                <w:i/>
                <w:color w:val="000000" w:themeColor="text1"/>
                <w:sz w:val="24"/>
                <w:szCs w:val="24"/>
              </w:rPr>
              <w:t xml:space="preserve"> г. составил </w:t>
            </w:r>
            <w:r w:rsidR="00D17DFD" w:rsidRPr="00C44EE6">
              <w:rPr>
                <w:i/>
                <w:color w:val="000000" w:themeColor="text1"/>
                <w:sz w:val="24"/>
                <w:szCs w:val="24"/>
              </w:rPr>
              <w:t>76302,6</w:t>
            </w:r>
            <w:r w:rsidRPr="00C44EE6">
              <w:rPr>
                <w:i/>
                <w:color w:val="000000" w:themeColor="text1"/>
                <w:sz w:val="24"/>
                <w:szCs w:val="24"/>
              </w:rPr>
              <w:t xml:space="preserve"> млн. сомов. Индекс физического объема валового выпуска продукции сельского хозяйства </w:t>
            </w:r>
            <w:r w:rsidR="00A80D23" w:rsidRPr="00C44EE6">
              <w:rPr>
                <w:i/>
                <w:color w:val="000000" w:themeColor="text1"/>
                <w:sz w:val="24"/>
                <w:szCs w:val="24"/>
                <w:lang w:val="ky-KG"/>
              </w:rPr>
              <w:t>к</w:t>
            </w:r>
            <w:r w:rsidRPr="00C44EE6">
              <w:rPr>
                <w:i/>
                <w:color w:val="000000" w:themeColor="text1"/>
                <w:sz w:val="24"/>
                <w:szCs w:val="24"/>
              </w:rPr>
              <w:t xml:space="preserve"> </w:t>
            </w:r>
            <w:proofErr w:type="spellStart"/>
            <w:r w:rsidRPr="00C44EE6">
              <w:rPr>
                <w:i/>
                <w:color w:val="000000" w:themeColor="text1"/>
                <w:sz w:val="24"/>
                <w:szCs w:val="24"/>
              </w:rPr>
              <w:t>уровн</w:t>
            </w:r>
            <w:proofErr w:type="spellEnd"/>
            <w:r w:rsidR="00A80D23" w:rsidRPr="00C44EE6">
              <w:rPr>
                <w:i/>
                <w:color w:val="000000" w:themeColor="text1"/>
                <w:sz w:val="24"/>
                <w:szCs w:val="24"/>
                <w:lang w:val="ky-KG"/>
              </w:rPr>
              <w:t>ю</w:t>
            </w:r>
            <w:r w:rsidRPr="00C44EE6">
              <w:rPr>
                <w:i/>
                <w:color w:val="000000" w:themeColor="text1"/>
                <w:sz w:val="24"/>
                <w:szCs w:val="24"/>
              </w:rPr>
              <w:t xml:space="preserve"> </w:t>
            </w:r>
            <w:r w:rsidR="00A80D23" w:rsidRPr="00C44EE6">
              <w:rPr>
                <w:i/>
                <w:color w:val="000000" w:themeColor="text1"/>
                <w:sz w:val="24"/>
                <w:szCs w:val="24"/>
                <w:lang w:val="ky-KG"/>
              </w:rPr>
              <w:t>составил</w:t>
            </w:r>
            <w:r w:rsidRPr="00C44EE6">
              <w:rPr>
                <w:i/>
                <w:color w:val="000000" w:themeColor="text1"/>
                <w:sz w:val="24"/>
                <w:szCs w:val="24"/>
              </w:rPr>
              <w:t xml:space="preserve"> 1</w:t>
            </w:r>
            <w:r w:rsidR="00A80D23" w:rsidRPr="00C44EE6">
              <w:rPr>
                <w:i/>
                <w:color w:val="000000" w:themeColor="text1"/>
                <w:sz w:val="24"/>
                <w:szCs w:val="24"/>
                <w:lang w:val="ky-KG"/>
              </w:rPr>
              <w:t>0</w:t>
            </w:r>
            <w:r w:rsidR="00D17DFD" w:rsidRPr="00C44EE6">
              <w:rPr>
                <w:i/>
                <w:color w:val="000000" w:themeColor="text1"/>
                <w:sz w:val="24"/>
                <w:szCs w:val="24"/>
                <w:lang w:val="ky-KG"/>
              </w:rPr>
              <w:t>4,3</w:t>
            </w:r>
            <w:r w:rsidRPr="00C44EE6">
              <w:rPr>
                <w:i/>
                <w:color w:val="000000" w:themeColor="text1"/>
                <w:sz w:val="24"/>
                <w:szCs w:val="24"/>
              </w:rPr>
              <w:t xml:space="preserve"> процента. </w:t>
            </w:r>
          </w:p>
        </w:tc>
      </w:tr>
      <w:tr w:rsidR="00AC3F90" w:rsidRPr="00DC123A" w14:paraId="00964337" w14:textId="77777777" w:rsidTr="004E69B9">
        <w:tc>
          <w:tcPr>
            <w:tcW w:w="4677" w:type="dxa"/>
          </w:tcPr>
          <w:p w14:paraId="51F119FD" w14:textId="164C5A8A" w:rsidR="00AC3F90" w:rsidRPr="00C44EE6" w:rsidRDefault="005B1F8C" w:rsidP="00AC3F90">
            <w:pPr>
              <w:jc w:val="both"/>
              <w:rPr>
                <w:color w:val="000000" w:themeColor="text1"/>
                <w:lang w:val="ky-KG"/>
              </w:rPr>
            </w:pPr>
            <w:r w:rsidRPr="00C44EE6">
              <w:rPr>
                <w:color w:val="000000" w:themeColor="text1"/>
                <w:sz w:val="24"/>
                <w:lang w:val="ky-KG"/>
              </w:rPr>
              <w:t xml:space="preserve">      202</w:t>
            </w:r>
            <w:r w:rsidR="00D17DFD" w:rsidRPr="00C44EE6">
              <w:rPr>
                <w:color w:val="000000" w:themeColor="text1"/>
                <w:sz w:val="24"/>
                <w:lang w:val="ky-KG"/>
              </w:rPr>
              <w:t>4</w:t>
            </w:r>
            <w:r w:rsidRPr="00C44EE6">
              <w:rPr>
                <w:color w:val="000000" w:themeColor="text1"/>
                <w:sz w:val="24"/>
                <w:lang w:val="ky-KG"/>
              </w:rPr>
              <w:t>-жылы автоунаа менен ташылган жүк 3</w:t>
            </w:r>
            <w:r w:rsidR="00D17DFD" w:rsidRPr="00C44EE6">
              <w:rPr>
                <w:color w:val="000000" w:themeColor="text1"/>
                <w:sz w:val="24"/>
                <w:lang w:val="ky-KG"/>
              </w:rPr>
              <w:t>307,1</w:t>
            </w:r>
            <w:r w:rsidRPr="00C44EE6">
              <w:rPr>
                <w:color w:val="000000" w:themeColor="text1"/>
                <w:sz w:val="24"/>
                <w:lang w:val="ky-KG"/>
              </w:rPr>
              <w:t xml:space="preserve"> миң тоннаны түзүп,  өткөн жылдын ушул эле мезгилине салыштырмалуу 1</w:t>
            </w:r>
            <w:r w:rsidR="00D17DFD" w:rsidRPr="00C44EE6">
              <w:rPr>
                <w:color w:val="000000" w:themeColor="text1"/>
                <w:sz w:val="24"/>
                <w:lang w:val="ky-KG"/>
              </w:rPr>
              <w:t>1,9</w:t>
            </w:r>
            <w:r w:rsidRPr="00C44EE6">
              <w:rPr>
                <w:color w:val="000000" w:themeColor="text1"/>
                <w:sz w:val="24"/>
                <w:lang w:val="ky-KG"/>
              </w:rPr>
              <w:t xml:space="preserve"> пайызга көбөйдү. </w:t>
            </w:r>
            <w:r w:rsidRPr="00C44EE6">
              <w:rPr>
                <w:color w:val="000000" w:themeColor="text1"/>
                <w:sz w:val="24"/>
              </w:rPr>
              <w:t>(</w:t>
            </w:r>
            <w:proofErr w:type="spellStart"/>
            <w:r w:rsidRPr="00C44EE6">
              <w:rPr>
                <w:color w:val="000000" w:themeColor="text1"/>
                <w:sz w:val="24"/>
              </w:rPr>
              <w:t>мекемелик</w:t>
            </w:r>
            <w:proofErr w:type="spellEnd"/>
            <w:r w:rsidRPr="00C44EE6">
              <w:rPr>
                <w:color w:val="000000" w:themeColor="text1"/>
                <w:sz w:val="24"/>
              </w:rPr>
              <w:t xml:space="preserve"> </w:t>
            </w:r>
            <w:proofErr w:type="spellStart"/>
            <w:r w:rsidRPr="00C44EE6">
              <w:rPr>
                <w:color w:val="000000" w:themeColor="text1"/>
                <w:sz w:val="24"/>
              </w:rPr>
              <w:t>унаалар</w:t>
            </w:r>
            <w:proofErr w:type="spellEnd"/>
            <w:r w:rsidRPr="00C44EE6">
              <w:rPr>
                <w:color w:val="000000" w:themeColor="text1"/>
                <w:sz w:val="24"/>
              </w:rPr>
              <w:t xml:space="preserve"> </w:t>
            </w:r>
            <w:proofErr w:type="spellStart"/>
            <w:r w:rsidRPr="00C44EE6">
              <w:rPr>
                <w:color w:val="000000" w:themeColor="text1"/>
                <w:sz w:val="24"/>
              </w:rPr>
              <w:t>камтылган</w:t>
            </w:r>
            <w:proofErr w:type="spellEnd"/>
            <w:r w:rsidRPr="00C44EE6">
              <w:rPr>
                <w:color w:val="000000" w:themeColor="text1"/>
                <w:sz w:val="24"/>
              </w:rPr>
              <w:t>).</w:t>
            </w:r>
          </w:p>
        </w:tc>
        <w:tc>
          <w:tcPr>
            <w:tcW w:w="4820" w:type="dxa"/>
          </w:tcPr>
          <w:p w14:paraId="297ECD49" w14:textId="414A7711" w:rsidR="00AC3F90" w:rsidRPr="00C44EE6" w:rsidRDefault="005B1F8C" w:rsidP="00AC3F90">
            <w:pPr>
              <w:jc w:val="both"/>
              <w:rPr>
                <w:color w:val="000000" w:themeColor="text1"/>
                <w:lang w:val="ky-KG"/>
              </w:rPr>
            </w:pPr>
            <w:r w:rsidRPr="00C44EE6">
              <w:rPr>
                <w:i/>
                <w:color w:val="000000" w:themeColor="text1"/>
                <w:sz w:val="24"/>
              </w:rPr>
              <w:t>В 202</w:t>
            </w:r>
            <w:r w:rsidR="00D17DFD" w:rsidRPr="00C44EE6">
              <w:rPr>
                <w:i/>
                <w:color w:val="000000" w:themeColor="text1"/>
                <w:sz w:val="24"/>
              </w:rPr>
              <w:t>4</w:t>
            </w:r>
            <w:r w:rsidRPr="00C44EE6">
              <w:rPr>
                <w:i/>
                <w:color w:val="000000" w:themeColor="text1"/>
                <w:sz w:val="24"/>
              </w:rPr>
              <w:t xml:space="preserve"> году объем перевезенных грузов автомобильным транспортом </w:t>
            </w:r>
            <w:r w:rsidRPr="00C44EE6">
              <w:rPr>
                <w:i/>
                <w:color w:val="000000" w:themeColor="text1"/>
                <w:sz w:val="24"/>
                <w:lang w:val="ky-KG"/>
              </w:rPr>
              <w:t>увеличился</w:t>
            </w:r>
            <w:r w:rsidRPr="00C44EE6">
              <w:rPr>
                <w:i/>
                <w:color w:val="000000" w:themeColor="text1"/>
                <w:sz w:val="24"/>
              </w:rPr>
              <w:t xml:space="preserve"> по сравнению с прошлым годом на 1</w:t>
            </w:r>
            <w:r w:rsidR="00D17DFD" w:rsidRPr="00C44EE6">
              <w:rPr>
                <w:i/>
                <w:color w:val="000000" w:themeColor="text1"/>
                <w:sz w:val="24"/>
              </w:rPr>
              <w:t>1,9</w:t>
            </w:r>
            <w:r w:rsidRPr="00C44EE6">
              <w:rPr>
                <w:i/>
                <w:color w:val="000000" w:themeColor="text1"/>
                <w:sz w:val="24"/>
              </w:rPr>
              <w:t xml:space="preserve"> процента и составил 3</w:t>
            </w:r>
            <w:r w:rsidR="00D17DFD" w:rsidRPr="00C44EE6">
              <w:rPr>
                <w:i/>
                <w:color w:val="000000" w:themeColor="text1"/>
                <w:sz w:val="24"/>
              </w:rPr>
              <w:t>307,1</w:t>
            </w:r>
            <w:r w:rsidRPr="00C44EE6">
              <w:rPr>
                <w:i/>
                <w:color w:val="000000" w:themeColor="text1"/>
                <w:sz w:val="24"/>
              </w:rPr>
              <w:t xml:space="preserve"> тыс. тонн (включены ведомственные автомашины).</w:t>
            </w:r>
          </w:p>
        </w:tc>
      </w:tr>
      <w:tr w:rsidR="00AC3F90" w:rsidRPr="00DC123A" w14:paraId="0BF7D77F" w14:textId="77777777" w:rsidTr="004E69B9">
        <w:tc>
          <w:tcPr>
            <w:tcW w:w="4677" w:type="dxa"/>
          </w:tcPr>
          <w:p w14:paraId="1F9D325B" w14:textId="7BC60407" w:rsidR="00AC3F90" w:rsidRPr="00C44EE6" w:rsidRDefault="00AC3F90" w:rsidP="00AC3F90">
            <w:pPr>
              <w:jc w:val="both"/>
              <w:rPr>
                <w:b/>
                <w:color w:val="000000" w:themeColor="text1"/>
                <w:sz w:val="24"/>
                <w:lang w:val="ky-KG"/>
              </w:rPr>
            </w:pPr>
            <w:r w:rsidRPr="00C44EE6">
              <w:rPr>
                <w:color w:val="000000" w:themeColor="text1"/>
                <w:sz w:val="24"/>
                <w:lang w:val="ky-KG"/>
              </w:rPr>
              <w:t xml:space="preserve">      202</w:t>
            </w:r>
            <w:r w:rsidR="00D17DFD" w:rsidRPr="00C44EE6">
              <w:rPr>
                <w:color w:val="000000" w:themeColor="text1"/>
                <w:sz w:val="24"/>
                <w:lang w:val="ky-KG"/>
              </w:rPr>
              <w:t>4</w:t>
            </w:r>
            <w:r w:rsidRPr="00C44EE6">
              <w:rPr>
                <w:color w:val="000000" w:themeColor="text1"/>
                <w:sz w:val="24"/>
                <w:lang w:val="ky-KG"/>
              </w:rPr>
              <w:t>-жылы 202</w:t>
            </w:r>
            <w:r w:rsidR="00D17DFD" w:rsidRPr="00C44EE6">
              <w:rPr>
                <w:color w:val="000000" w:themeColor="text1"/>
                <w:sz w:val="24"/>
                <w:lang w:val="ky-KG"/>
              </w:rPr>
              <w:t>3</w:t>
            </w:r>
            <w:r w:rsidRPr="00C44EE6">
              <w:rPr>
                <w:color w:val="000000" w:themeColor="text1"/>
                <w:sz w:val="24"/>
                <w:lang w:val="ky-KG"/>
              </w:rPr>
              <w:t>-жылга  салыштыр-малуу дүн жана чекене соода жүгүртүүнүн, автоунааларды жана мотоциклдерди ондоонун жалпы көлөмү 1</w:t>
            </w:r>
            <w:r w:rsidR="003470DD" w:rsidRPr="00C44EE6">
              <w:rPr>
                <w:color w:val="000000" w:themeColor="text1"/>
                <w:sz w:val="24"/>
                <w:lang w:val="ky-KG"/>
              </w:rPr>
              <w:t>34375,3</w:t>
            </w:r>
            <w:r w:rsidRPr="00C44EE6">
              <w:rPr>
                <w:color w:val="000000" w:themeColor="text1"/>
                <w:sz w:val="24"/>
                <w:lang w:val="ky-KG"/>
              </w:rPr>
              <w:t xml:space="preserve"> млн.сомду түзүп </w:t>
            </w:r>
            <w:r w:rsidRPr="00EF47AB">
              <w:rPr>
                <w:sz w:val="24"/>
                <w:lang w:val="ky-KG"/>
              </w:rPr>
              <w:t>1</w:t>
            </w:r>
            <w:r w:rsidR="00EF47AB" w:rsidRPr="00EF47AB">
              <w:rPr>
                <w:sz w:val="24"/>
                <w:lang w:val="ky-KG"/>
              </w:rPr>
              <w:t>05,1</w:t>
            </w:r>
            <w:r w:rsidRPr="00EF47AB">
              <w:rPr>
                <w:sz w:val="24"/>
                <w:lang w:val="ky-KG"/>
              </w:rPr>
              <w:t xml:space="preserve"> пайызга көбөйдү.</w:t>
            </w:r>
          </w:p>
        </w:tc>
        <w:tc>
          <w:tcPr>
            <w:tcW w:w="4820" w:type="dxa"/>
          </w:tcPr>
          <w:p w14:paraId="6CA18853" w14:textId="3C5F542F" w:rsidR="00AC3F90" w:rsidRPr="00C44EE6" w:rsidRDefault="00AC3F90" w:rsidP="00AC3F90">
            <w:pPr>
              <w:jc w:val="both"/>
              <w:rPr>
                <w:i/>
                <w:color w:val="000000" w:themeColor="text1"/>
                <w:sz w:val="24"/>
              </w:rPr>
            </w:pPr>
            <w:r w:rsidRPr="00C44EE6">
              <w:rPr>
                <w:i/>
                <w:color w:val="000000" w:themeColor="text1"/>
                <w:sz w:val="24"/>
                <w:lang w:val="ky-KG"/>
              </w:rPr>
              <w:t xml:space="preserve">      </w:t>
            </w:r>
            <w:r w:rsidRPr="00C44EE6">
              <w:rPr>
                <w:i/>
                <w:color w:val="000000" w:themeColor="text1"/>
                <w:sz w:val="24"/>
              </w:rPr>
              <w:t>В 202</w:t>
            </w:r>
            <w:r w:rsidR="00FC3540" w:rsidRPr="00C44EE6">
              <w:rPr>
                <w:i/>
                <w:color w:val="000000" w:themeColor="text1"/>
                <w:sz w:val="24"/>
              </w:rPr>
              <w:t>4</w:t>
            </w:r>
            <w:r w:rsidRPr="00C44EE6">
              <w:rPr>
                <w:i/>
                <w:color w:val="000000" w:themeColor="text1"/>
                <w:sz w:val="24"/>
              </w:rPr>
              <w:t xml:space="preserve"> году по сравнению с 20</w:t>
            </w:r>
            <w:r w:rsidRPr="00C44EE6">
              <w:rPr>
                <w:i/>
                <w:color w:val="000000" w:themeColor="text1"/>
                <w:sz w:val="24"/>
                <w:lang w:val="ky-KG"/>
              </w:rPr>
              <w:t>2</w:t>
            </w:r>
            <w:r w:rsidR="00FC3540" w:rsidRPr="00C44EE6">
              <w:rPr>
                <w:i/>
                <w:color w:val="000000" w:themeColor="text1"/>
                <w:sz w:val="24"/>
                <w:lang w:val="ky-KG"/>
              </w:rPr>
              <w:t>3</w:t>
            </w:r>
            <w:r w:rsidRPr="00C44EE6">
              <w:rPr>
                <w:i/>
                <w:color w:val="000000" w:themeColor="text1"/>
                <w:sz w:val="24"/>
              </w:rPr>
              <w:t xml:space="preserve"> годом общий объем оборота оптовой и розничной торговли, ремонта автомобилей и мотоциклов </w:t>
            </w:r>
            <w:r w:rsidRPr="00C44EE6">
              <w:rPr>
                <w:i/>
                <w:color w:val="000000" w:themeColor="text1"/>
                <w:sz w:val="24"/>
                <w:lang w:val="ky-KG"/>
              </w:rPr>
              <w:t>повысился</w:t>
            </w:r>
            <w:r w:rsidRPr="00C44EE6">
              <w:rPr>
                <w:i/>
                <w:color w:val="000000" w:themeColor="text1"/>
                <w:sz w:val="24"/>
              </w:rPr>
              <w:t xml:space="preserve"> на </w:t>
            </w:r>
            <w:r w:rsidRPr="00EF47AB">
              <w:rPr>
                <w:i/>
                <w:sz w:val="24"/>
                <w:lang w:val="ky-KG"/>
              </w:rPr>
              <w:t>1</w:t>
            </w:r>
            <w:r w:rsidR="00EF47AB" w:rsidRPr="00EF47AB">
              <w:rPr>
                <w:i/>
                <w:sz w:val="24"/>
                <w:lang w:val="ky-KG"/>
              </w:rPr>
              <w:t>05,1</w:t>
            </w:r>
            <w:r w:rsidRPr="00EF47AB">
              <w:rPr>
                <w:i/>
                <w:sz w:val="24"/>
              </w:rPr>
              <w:t xml:space="preserve"> процент</w:t>
            </w:r>
            <w:r w:rsidRPr="00EF47AB">
              <w:rPr>
                <w:i/>
                <w:sz w:val="24"/>
                <w:lang w:val="ky-KG"/>
              </w:rPr>
              <w:t>а</w:t>
            </w:r>
            <w:r w:rsidRPr="00EF47AB">
              <w:rPr>
                <w:i/>
                <w:sz w:val="24"/>
              </w:rPr>
              <w:t xml:space="preserve">в и составил </w:t>
            </w:r>
            <w:r w:rsidR="00FC3540" w:rsidRPr="00EF47AB">
              <w:rPr>
                <w:i/>
                <w:sz w:val="24"/>
              </w:rPr>
              <w:t>134375,3</w:t>
            </w:r>
            <w:r w:rsidRPr="00EF47AB">
              <w:rPr>
                <w:i/>
                <w:sz w:val="24"/>
              </w:rPr>
              <w:t xml:space="preserve"> млн. сомов.</w:t>
            </w:r>
          </w:p>
        </w:tc>
      </w:tr>
      <w:tr w:rsidR="00AC3F90" w:rsidRPr="00DC123A" w14:paraId="1B4227FE" w14:textId="77777777" w:rsidTr="004E69B9">
        <w:tc>
          <w:tcPr>
            <w:tcW w:w="4677" w:type="dxa"/>
          </w:tcPr>
          <w:p w14:paraId="38683C8E" w14:textId="3ADA7621" w:rsidR="00AC3F90" w:rsidRPr="00C44EE6" w:rsidRDefault="00AC3F90" w:rsidP="00AC3F90">
            <w:pPr>
              <w:jc w:val="both"/>
              <w:rPr>
                <w:sz w:val="24"/>
                <w:lang w:val="ky-KG"/>
              </w:rPr>
            </w:pPr>
            <w:r w:rsidRPr="00C44EE6">
              <w:rPr>
                <w:sz w:val="24"/>
                <w:lang w:val="ky-KG"/>
              </w:rPr>
              <w:t xml:space="preserve">      202</w:t>
            </w:r>
            <w:r w:rsidR="005137E7" w:rsidRPr="00C44EE6">
              <w:rPr>
                <w:sz w:val="24"/>
                <w:lang w:val="ky-KG"/>
              </w:rPr>
              <w:t>4</w:t>
            </w:r>
            <w:r w:rsidRPr="00C44EE6">
              <w:rPr>
                <w:sz w:val="24"/>
                <w:lang w:val="ky-KG"/>
              </w:rPr>
              <w:t xml:space="preserve">-жылы рыноктук тейлөөлөрдүн көрсөтүлгөн кызматтын көлөмү </w:t>
            </w:r>
            <w:r w:rsidR="005137E7" w:rsidRPr="00C44EE6">
              <w:rPr>
                <w:sz w:val="24"/>
                <w:lang w:val="ky-KG"/>
              </w:rPr>
              <w:t>22492,6</w:t>
            </w:r>
            <w:r w:rsidRPr="00C44EE6">
              <w:rPr>
                <w:sz w:val="24"/>
                <w:lang w:val="ky-KG"/>
              </w:rPr>
              <w:t xml:space="preserve"> млн. сомду түздү, бул өткөн жылга салыштырмалуу </w:t>
            </w:r>
            <w:r w:rsidR="00EF47AB" w:rsidRPr="00EF47AB">
              <w:rPr>
                <w:sz w:val="24"/>
                <w:lang w:val="ky-KG"/>
              </w:rPr>
              <w:t>105,8</w:t>
            </w:r>
            <w:r w:rsidRPr="00EF47AB">
              <w:rPr>
                <w:sz w:val="24"/>
                <w:lang w:val="ky-KG"/>
              </w:rPr>
              <w:t xml:space="preserve"> пайызга көбөйгөн. </w:t>
            </w:r>
          </w:p>
          <w:p w14:paraId="3E12DE41" w14:textId="4C86BFDB" w:rsidR="00AC3F90" w:rsidRPr="00C44EE6" w:rsidRDefault="00AC3F90" w:rsidP="00AC3F90">
            <w:pPr>
              <w:jc w:val="both"/>
              <w:rPr>
                <w:sz w:val="24"/>
                <w:lang w:val="ky-KG"/>
              </w:rPr>
            </w:pPr>
          </w:p>
        </w:tc>
        <w:tc>
          <w:tcPr>
            <w:tcW w:w="4820" w:type="dxa"/>
          </w:tcPr>
          <w:p w14:paraId="74E54983" w14:textId="0059FFCB" w:rsidR="00AC3F90" w:rsidRPr="00C44EE6" w:rsidRDefault="00AC3F90" w:rsidP="00AC3F90">
            <w:pPr>
              <w:jc w:val="both"/>
              <w:rPr>
                <w:i/>
                <w:sz w:val="24"/>
              </w:rPr>
            </w:pPr>
            <w:r w:rsidRPr="00C44EE6">
              <w:rPr>
                <w:i/>
                <w:sz w:val="24"/>
                <w:szCs w:val="24"/>
                <w:lang w:val="ky-KG"/>
              </w:rPr>
              <w:t xml:space="preserve">     </w:t>
            </w:r>
            <w:r w:rsidRPr="00C44EE6">
              <w:rPr>
                <w:i/>
                <w:sz w:val="24"/>
                <w:szCs w:val="24"/>
              </w:rPr>
              <w:t>Общий</w:t>
            </w:r>
            <w:r w:rsidRPr="00C44EE6">
              <w:rPr>
                <w:i/>
                <w:sz w:val="24"/>
                <w:szCs w:val="24"/>
                <w:lang w:val="ky-KG"/>
              </w:rPr>
              <w:t xml:space="preserve"> </w:t>
            </w:r>
            <w:r w:rsidRPr="00C44EE6">
              <w:rPr>
                <w:i/>
                <w:sz w:val="24"/>
                <w:szCs w:val="24"/>
              </w:rPr>
              <w:t>объем оказанных рыночных услуг</w:t>
            </w:r>
            <w:r w:rsidRPr="00C44EE6">
              <w:rPr>
                <w:i/>
                <w:sz w:val="24"/>
                <w:szCs w:val="24"/>
                <w:lang w:val="ky-KG"/>
              </w:rPr>
              <w:t xml:space="preserve"> </w:t>
            </w:r>
            <w:r w:rsidRPr="00C44EE6">
              <w:rPr>
                <w:i/>
                <w:sz w:val="24"/>
                <w:szCs w:val="24"/>
              </w:rPr>
              <w:t>в 20</w:t>
            </w:r>
            <w:r w:rsidRPr="00C44EE6">
              <w:rPr>
                <w:i/>
                <w:sz w:val="24"/>
                <w:szCs w:val="24"/>
                <w:lang w:val="ky-KG"/>
              </w:rPr>
              <w:t>2</w:t>
            </w:r>
            <w:r w:rsidR="005137E7" w:rsidRPr="00C44EE6">
              <w:rPr>
                <w:i/>
                <w:sz w:val="24"/>
                <w:szCs w:val="24"/>
                <w:lang w:val="ky-KG"/>
              </w:rPr>
              <w:t>4</w:t>
            </w:r>
            <w:r w:rsidRPr="00C44EE6">
              <w:rPr>
                <w:i/>
                <w:sz w:val="24"/>
                <w:szCs w:val="24"/>
              </w:rPr>
              <w:t xml:space="preserve"> году составил </w:t>
            </w:r>
            <w:r w:rsidR="005137E7" w:rsidRPr="00C44EE6">
              <w:rPr>
                <w:i/>
                <w:sz w:val="24"/>
                <w:szCs w:val="24"/>
              </w:rPr>
              <w:t>22492,6</w:t>
            </w:r>
            <w:r w:rsidRPr="00C44EE6">
              <w:rPr>
                <w:i/>
                <w:sz w:val="24"/>
                <w:szCs w:val="24"/>
                <w:lang w:val="ky-KG"/>
              </w:rPr>
              <w:t xml:space="preserve"> </w:t>
            </w:r>
            <w:r w:rsidRPr="00C44EE6">
              <w:rPr>
                <w:i/>
                <w:sz w:val="24"/>
                <w:szCs w:val="24"/>
              </w:rPr>
              <w:t>млн. сомов и по сравнению с прошлым годом у</w:t>
            </w:r>
            <w:r w:rsidRPr="00C44EE6">
              <w:rPr>
                <w:i/>
                <w:sz w:val="24"/>
                <w:szCs w:val="24"/>
                <w:lang w:val="ky-KG"/>
              </w:rPr>
              <w:t>величиль</w:t>
            </w:r>
            <w:proofErr w:type="spellStart"/>
            <w:r w:rsidRPr="00C44EE6">
              <w:rPr>
                <w:i/>
                <w:sz w:val="24"/>
                <w:szCs w:val="24"/>
              </w:rPr>
              <w:t>ся</w:t>
            </w:r>
            <w:proofErr w:type="spellEnd"/>
            <w:r w:rsidRPr="00C44EE6">
              <w:rPr>
                <w:i/>
                <w:sz w:val="24"/>
                <w:szCs w:val="24"/>
              </w:rPr>
              <w:t xml:space="preserve"> на </w:t>
            </w:r>
            <w:r w:rsidR="00EF47AB" w:rsidRPr="00EF47AB">
              <w:rPr>
                <w:i/>
                <w:sz w:val="24"/>
                <w:szCs w:val="24"/>
              </w:rPr>
              <w:t>105,8</w:t>
            </w:r>
            <w:r w:rsidRPr="00EF47AB">
              <w:rPr>
                <w:i/>
                <w:sz w:val="24"/>
                <w:szCs w:val="24"/>
              </w:rPr>
              <w:t xml:space="preserve"> процента.</w:t>
            </w:r>
          </w:p>
        </w:tc>
      </w:tr>
      <w:tr w:rsidR="00AC3F90" w:rsidRPr="00DC123A" w14:paraId="2D2302B4" w14:textId="77777777" w:rsidTr="004E69B9">
        <w:tc>
          <w:tcPr>
            <w:tcW w:w="4677" w:type="dxa"/>
          </w:tcPr>
          <w:p w14:paraId="5405096C" w14:textId="051E7BC3" w:rsidR="00AC3F90" w:rsidRPr="00F95700" w:rsidRDefault="00AC3F90" w:rsidP="00AC3F90">
            <w:pPr>
              <w:jc w:val="both"/>
              <w:rPr>
                <w:i/>
                <w:sz w:val="24"/>
                <w:lang w:val="ky-KG"/>
              </w:rPr>
            </w:pPr>
            <w:r w:rsidRPr="00F95700">
              <w:rPr>
                <w:sz w:val="24"/>
              </w:rPr>
              <w:t xml:space="preserve">     </w:t>
            </w:r>
            <w:r w:rsidRPr="00F95700">
              <w:rPr>
                <w:sz w:val="24"/>
                <w:lang w:val="ky-KG"/>
              </w:rPr>
              <w:t xml:space="preserve"> </w:t>
            </w:r>
            <w:r w:rsidRPr="00F95700">
              <w:rPr>
                <w:rFonts w:ascii="Times New Roman UniToktom" w:hAnsi="Times New Roman UniToktom" w:cs="Times New Roman UniToktom"/>
                <w:sz w:val="24"/>
                <w:szCs w:val="24"/>
                <w:lang w:val="ky-KG"/>
              </w:rPr>
              <w:t>202</w:t>
            </w:r>
            <w:r w:rsidR="005137E7" w:rsidRPr="00F95700">
              <w:rPr>
                <w:rFonts w:ascii="Times New Roman UniToktom" w:hAnsi="Times New Roman UniToktom" w:cs="Times New Roman UniToktom"/>
                <w:sz w:val="24"/>
                <w:szCs w:val="24"/>
                <w:lang w:val="ky-KG"/>
              </w:rPr>
              <w:t>4</w:t>
            </w:r>
            <w:r w:rsidRPr="00F95700">
              <w:rPr>
                <w:rFonts w:ascii="Times New Roman UniToktom" w:hAnsi="Times New Roman UniToktom" w:cs="Times New Roman UniToktom"/>
                <w:sz w:val="24"/>
                <w:szCs w:val="24"/>
                <w:lang w:val="ky-KG"/>
              </w:rPr>
              <w:t xml:space="preserve">-жылы Жалал-Абад облусу боюнча  </w:t>
            </w:r>
            <w:r w:rsidRPr="00F95700">
              <w:rPr>
                <w:sz w:val="24"/>
                <w:szCs w:val="24"/>
                <w:lang w:val="ky-KG"/>
              </w:rPr>
              <w:t>ишканалардын, уюмдардын жана мекемелердеги кызматкерлердин</w:t>
            </w:r>
            <w:r w:rsidRPr="00F95700">
              <w:rPr>
                <w:rFonts w:ascii="Times New Roman UniToktom" w:hAnsi="Times New Roman UniToktom" w:cs="Times New Roman UniToktom"/>
                <w:sz w:val="24"/>
                <w:szCs w:val="24"/>
                <w:lang w:val="ky-KG"/>
              </w:rPr>
              <w:t xml:space="preserve"> орточо айлык акысы  </w:t>
            </w:r>
            <w:r w:rsidR="005137E7" w:rsidRPr="00F95700">
              <w:rPr>
                <w:rFonts w:ascii="Times New Roman UniToktom" w:hAnsi="Times New Roman UniToktom" w:cs="Times New Roman UniToktom"/>
                <w:sz w:val="24"/>
                <w:szCs w:val="24"/>
                <w:lang w:val="ky-KG"/>
              </w:rPr>
              <w:t>31229</w:t>
            </w:r>
            <w:r w:rsidRPr="00F95700">
              <w:rPr>
                <w:sz w:val="24"/>
                <w:szCs w:val="24"/>
                <w:lang w:val="ky-KG"/>
              </w:rPr>
              <w:t xml:space="preserve"> </w:t>
            </w:r>
            <w:r w:rsidRPr="00F95700">
              <w:rPr>
                <w:rFonts w:ascii="Times New Roman UniToktom" w:hAnsi="Times New Roman UniToktom" w:cs="Times New Roman UniToktom"/>
                <w:sz w:val="24"/>
                <w:szCs w:val="24"/>
                <w:lang w:val="ky-KG"/>
              </w:rPr>
              <w:t>сомду түзүп, 20</w:t>
            </w:r>
            <w:r w:rsidR="005137E7" w:rsidRPr="00F95700">
              <w:rPr>
                <w:rFonts w:ascii="Times New Roman UniToktom" w:hAnsi="Times New Roman UniToktom" w:cs="Times New Roman UniToktom"/>
                <w:sz w:val="24"/>
                <w:szCs w:val="24"/>
                <w:lang w:val="ky-KG"/>
              </w:rPr>
              <w:t>20</w:t>
            </w:r>
            <w:r w:rsidRPr="00F95700">
              <w:rPr>
                <w:rFonts w:ascii="Times New Roman UniToktom" w:hAnsi="Times New Roman UniToktom" w:cs="Times New Roman UniToktom"/>
                <w:sz w:val="24"/>
                <w:szCs w:val="24"/>
                <w:lang w:val="ky-KG"/>
              </w:rPr>
              <w:t xml:space="preserve"> </w:t>
            </w:r>
            <w:r w:rsidRPr="00C32358">
              <w:rPr>
                <w:rFonts w:ascii="Times New Roman UniToktom" w:hAnsi="Times New Roman UniToktom" w:cs="Times New Roman UniToktom"/>
                <w:sz w:val="24"/>
                <w:szCs w:val="24"/>
                <w:lang w:val="ky-KG"/>
              </w:rPr>
              <w:t>жылга карата 55,0 пайызга өскөн</w:t>
            </w:r>
            <w:r w:rsidRPr="00F95700">
              <w:rPr>
                <w:rFonts w:ascii="Times New Roman UniToktom" w:hAnsi="Times New Roman UniToktom" w:cs="Times New Roman UniToktom"/>
                <w:sz w:val="24"/>
                <w:szCs w:val="24"/>
                <w:lang w:val="ky-KG"/>
              </w:rPr>
              <w:t xml:space="preserve">. </w:t>
            </w:r>
            <w:r w:rsidRPr="00F95700">
              <w:rPr>
                <w:sz w:val="24"/>
                <w:szCs w:val="24"/>
                <w:lang w:val="ky-KG"/>
              </w:rPr>
              <w:t xml:space="preserve">Керектөө бааларынын индексин эске алуу менен эсептелген реалдуу айлык акынын өлчөмү </w:t>
            </w:r>
            <w:r w:rsidRPr="00C32358">
              <w:rPr>
                <w:sz w:val="24"/>
                <w:szCs w:val="24"/>
                <w:lang w:val="ky-KG"/>
              </w:rPr>
              <w:t xml:space="preserve">2,5 пайызга </w:t>
            </w:r>
            <w:r w:rsidRPr="00F95700">
              <w:rPr>
                <w:sz w:val="24"/>
                <w:szCs w:val="24"/>
                <w:lang w:val="ky-KG"/>
              </w:rPr>
              <w:t xml:space="preserve">көбөйдү. </w:t>
            </w:r>
          </w:p>
        </w:tc>
        <w:tc>
          <w:tcPr>
            <w:tcW w:w="4820" w:type="dxa"/>
          </w:tcPr>
          <w:p w14:paraId="60475F61" w14:textId="7CD97C27" w:rsidR="00AC3F90" w:rsidRPr="00F95700" w:rsidRDefault="00AC3F90" w:rsidP="00AC3F90">
            <w:pPr>
              <w:jc w:val="both"/>
              <w:rPr>
                <w:i/>
                <w:sz w:val="24"/>
              </w:rPr>
            </w:pPr>
            <w:r w:rsidRPr="00F95700">
              <w:rPr>
                <w:i/>
                <w:sz w:val="24"/>
                <w:lang w:val="ky-KG"/>
              </w:rPr>
              <w:t xml:space="preserve">     В</w:t>
            </w:r>
            <w:r w:rsidRPr="00F95700">
              <w:rPr>
                <w:i/>
                <w:sz w:val="24"/>
              </w:rPr>
              <w:t xml:space="preserve"> 202</w:t>
            </w:r>
            <w:r w:rsidR="005137E7" w:rsidRPr="00F95700">
              <w:rPr>
                <w:i/>
                <w:sz w:val="24"/>
              </w:rPr>
              <w:t>4</w:t>
            </w:r>
            <w:r w:rsidRPr="00F95700">
              <w:rPr>
                <w:i/>
                <w:sz w:val="24"/>
              </w:rPr>
              <w:t xml:space="preserve"> году </w:t>
            </w:r>
            <w:r w:rsidRPr="00F95700">
              <w:rPr>
                <w:i/>
                <w:sz w:val="24"/>
                <w:lang w:val="ky-KG"/>
              </w:rPr>
              <w:t>с</w:t>
            </w:r>
            <w:proofErr w:type="spellStart"/>
            <w:r w:rsidRPr="00F95700">
              <w:rPr>
                <w:i/>
                <w:sz w:val="24"/>
              </w:rPr>
              <w:t>редн</w:t>
            </w:r>
            <w:proofErr w:type="spellEnd"/>
            <w:r w:rsidRPr="00F95700">
              <w:rPr>
                <w:i/>
                <w:sz w:val="24"/>
                <w:lang w:val="ky-KG"/>
              </w:rPr>
              <w:t>емеся</w:t>
            </w:r>
            <w:r w:rsidRPr="00F95700">
              <w:rPr>
                <w:i/>
                <w:sz w:val="24"/>
              </w:rPr>
              <w:t>ч</w:t>
            </w:r>
            <w:r w:rsidRPr="00F95700">
              <w:rPr>
                <w:i/>
                <w:sz w:val="24"/>
                <w:lang w:val="ky-KG"/>
              </w:rPr>
              <w:t>ная</w:t>
            </w:r>
            <w:r w:rsidRPr="00F95700">
              <w:rPr>
                <w:i/>
                <w:sz w:val="24"/>
              </w:rPr>
              <w:t xml:space="preserve"> заработная плата</w:t>
            </w:r>
            <w:r w:rsidRPr="00F95700">
              <w:rPr>
                <w:i/>
                <w:sz w:val="24"/>
                <w:lang w:val="ky-KG"/>
              </w:rPr>
              <w:t xml:space="preserve"> работников предприятий, учреждений и организаций</w:t>
            </w:r>
            <w:r w:rsidRPr="00F95700">
              <w:rPr>
                <w:i/>
                <w:sz w:val="24"/>
              </w:rPr>
              <w:t xml:space="preserve"> в среднем по области </w:t>
            </w:r>
            <w:r w:rsidRPr="00F95700">
              <w:rPr>
                <w:i/>
                <w:sz w:val="24"/>
                <w:lang w:val="ky-KG"/>
              </w:rPr>
              <w:t>сложи</w:t>
            </w:r>
            <w:proofErr w:type="spellStart"/>
            <w:r w:rsidRPr="00F95700">
              <w:rPr>
                <w:i/>
                <w:sz w:val="24"/>
              </w:rPr>
              <w:t>лась</w:t>
            </w:r>
            <w:proofErr w:type="spellEnd"/>
            <w:r w:rsidRPr="00F95700">
              <w:rPr>
                <w:i/>
                <w:sz w:val="24"/>
              </w:rPr>
              <w:t xml:space="preserve"> в размере</w:t>
            </w:r>
            <w:r w:rsidR="005137E7" w:rsidRPr="00F95700">
              <w:rPr>
                <w:i/>
                <w:sz w:val="24"/>
              </w:rPr>
              <w:t xml:space="preserve"> 31229</w:t>
            </w:r>
            <w:r w:rsidRPr="00F95700">
              <w:rPr>
                <w:i/>
                <w:sz w:val="24"/>
                <w:szCs w:val="24"/>
                <w:lang w:val="ky-KG"/>
              </w:rPr>
              <w:t xml:space="preserve"> </w:t>
            </w:r>
            <w:r w:rsidRPr="00F95700">
              <w:rPr>
                <w:i/>
                <w:sz w:val="24"/>
              </w:rPr>
              <w:t>сомов, и по сравнению с 20</w:t>
            </w:r>
            <w:r w:rsidR="00F95700" w:rsidRPr="00F95700">
              <w:rPr>
                <w:i/>
                <w:sz w:val="24"/>
                <w:lang w:val="ky-KG"/>
              </w:rPr>
              <w:t>20</w:t>
            </w:r>
            <w:r w:rsidRPr="00F95700">
              <w:rPr>
                <w:i/>
                <w:sz w:val="24"/>
              </w:rPr>
              <w:t xml:space="preserve">  годом увеличилась в </w:t>
            </w:r>
            <w:r w:rsidRPr="00C32358">
              <w:rPr>
                <w:i/>
                <w:sz w:val="24"/>
                <w:lang w:val="ky-KG"/>
              </w:rPr>
              <w:t>55,0</w:t>
            </w:r>
            <w:r w:rsidRPr="00C32358">
              <w:rPr>
                <w:i/>
                <w:sz w:val="24"/>
              </w:rPr>
              <w:t xml:space="preserve"> </w:t>
            </w:r>
            <w:r w:rsidRPr="00C32358">
              <w:rPr>
                <w:i/>
                <w:sz w:val="24"/>
                <w:lang w:val="ky-KG"/>
              </w:rPr>
              <w:t>процента</w:t>
            </w:r>
            <w:r w:rsidRPr="00C32358">
              <w:rPr>
                <w:i/>
                <w:sz w:val="24"/>
              </w:rPr>
              <w:t xml:space="preserve">. </w:t>
            </w:r>
            <w:proofErr w:type="spellStart"/>
            <w:r w:rsidRPr="00C32358">
              <w:rPr>
                <w:i/>
                <w:sz w:val="24"/>
              </w:rPr>
              <w:t>Реальн</w:t>
            </w:r>
            <w:proofErr w:type="spellEnd"/>
            <w:r w:rsidRPr="00C32358">
              <w:rPr>
                <w:i/>
                <w:sz w:val="24"/>
                <w:lang w:val="ky-KG"/>
              </w:rPr>
              <w:t>ый размер</w:t>
            </w:r>
            <w:r w:rsidRPr="00C32358">
              <w:rPr>
                <w:i/>
                <w:sz w:val="24"/>
              </w:rPr>
              <w:t xml:space="preserve"> </w:t>
            </w:r>
            <w:proofErr w:type="spellStart"/>
            <w:r w:rsidRPr="00C32358">
              <w:rPr>
                <w:i/>
                <w:sz w:val="24"/>
              </w:rPr>
              <w:t>заработн</w:t>
            </w:r>
            <w:proofErr w:type="spellEnd"/>
            <w:r w:rsidRPr="00C32358">
              <w:rPr>
                <w:i/>
                <w:sz w:val="24"/>
                <w:lang w:val="ky-KG"/>
              </w:rPr>
              <w:t>ой</w:t>
            </w:r>
            <w:r w:rsidRPr="00C32358">
              <w:rPr>
                <w:i/>
                <w:sz w:val="24"/>
              </w:rPr>
              <w:t xml:space="preserve"> плат</w:t>
            </w:r>
            <w:r w:rsidRPr="00C32358">
              <w:rPr>
                <w:i/>
                <w:sz w:val="24"/>
                <w:lang w:val="ky-KG"/>
              </w:rPr>
              <w:t xml:space="preserve">ы </w:t>
            </w:r>
            <w:r w:rsidRPr="00C32358">
              <w:rPr>
                <w:i/>
                <w:sz w:val="24"/>
              </w:rPr>
              <w:t xml:space="preserve">с учетом индекса потребительских цен </w:t>
            </w:r>
            <w:r w:rsidRPr="00C32358">
              <w:rPr>
                <w:i/>
                <w:sz w:val="24"/>
                <w:lang w:val="ky-KG"/>
              </w:rPr>
              <w:t>увеличилась на 2,5 процента</w:t>
            </w:r>
            <w:r w:rsidRPr="00C32358">
              <w:rPr>
                <w:i/>
                <w:sz w:val="24"/>
              </w:rPr>
              <w:t>.</w:t>
            </w:r>
            <w:r w:rsidRPr="00C32358">
              <w:rPr>
                <w:i/>
                <w:sz w:val="24"/>
                <w:lang w:val="ky-KG"/>
              </w:rPr>
              <w:t xml:space="preserve"> </w:t>
            </w:r>
          </w:p>
        </w:tc>
      </w:tr>
      <w:tr w:rsidR="00AC3F90" w:rsidRPr="00DC123A" w14:paraId="79F70772" w14:textId="77777777" w:rsidTr="00C74AB4">
        <w:tc>
          <w:tcPr>
            <w:tcW w:w="4677" w:type="dxa"/>
          </w:tcPr>
          <w:p w14:paraId="332B6D89" w14:textId="7642A13C" w:rsidR="00AC3F90" w:rsidRPr="00C44EE6" w:rsidRDefault="00AC3F90" w:rsidP="00AC3F90">
            <w:pPr>
              <w:jc w:val="both"/>
              <w:rPr>
                <w:sz w:val="24"/>
                <w:szCs w:val="24"/>
                <w:lang w:val="ky-KG"/>
              </w:rPr>
            </w:pPr>
            <w:r w:rsidRPr="00C44EE6">
              <w:rPr>
                <w:bCs/>
                <w:iCs/>
                <w:sz w:val="24"/>
                <w:szCs w:val="24"/>
              </w:rPr>
              <w:t xml:space="preserve">     </w:t>
            </w:r>
            <w:r w:rsidRPr="00C44EE6">
              <w:rPr>
                <w:bCs/>
                <w:iCs/>
                <w:sz w:val="24"/>
                <w:szCs w:val="24"/>
                <w:lang w:val="ky-KG"/>
              </w:rPr>
              <w:t>Инфляция деңгээлин мүнөздөөчү керектөө бааларынын индекси, жалпысынан Жалал-Абад облусу боюнча 202</w:t>
            </w:r>
            <w:r w:rsidR="00F21936" w:rsidRPr="00C44EE6">
              <w:rPr>
                <w:bCs/>
                <w:iCs/>
                <w:sz w:val="24"/>
                <w:szCs w:val="24"/>
                <w:lang w:val="ky-KG"/>
              </w:rPr>
              <w:t>4</w:t>
            </w:r>
            <w:r w:rsidRPr="00C44EE6">
              <w:rPr>
                <w:bCs/>
                <w:iCs/>
                <w:sz w:val="24"/>
                <w:szCs w:val="24"/>
                <w:lang w:val="ky-KG"/>
              </w:rPr>
              <w:t>-жылдын январь - декабрь айларында (өткөн жылдын декабрь айына салыштырмалуу) 10</w:t>
            </w:r>
            <w:r w:rsidR="00F21936" w:rsidRPr="00C44EE6">
              <w:rPr>
                <w:bCs/>
                <w:iCs/>
                <w:sz w:val="24"/>
                <w:szCs w:val="24"/>
                <w:lang w:val="ky-KG"/>
              </w:rPr>
              <w:t>4,6</w:t>
            </w:r>
            <w:r w:rsidRPr="00C44EE6">
              <w:rPr>
                <w:bCs/>
                <w:iCs/>
                <w:sz w:val="24"/>
                <w:szCs w:val="24"/>
                <w:lang w:val="ky-KG"/>
              </w:rPr>
              <w:t xml:space="preserve"> пайызды түздү.</w:t>
            </w:r>
          </w:p>
        </w:tc>
        <w:tc>
          <w:tcPr>
            <w:tcW w:w="4820" w:type="dxa"/>
          </w:tcPr>
          <w:p w14:paraId="2415F8D0" w14:textId="0F207F80" w:rsidR="00AC3F90" w:rsidRPr="00C44EE6" w:rsidRDefault="00AC3F90" w:rsidP="00AC3F90">
            <w:pPr>
              <w:jc w:val="both"/>
              <w:rPr>
                <w:i/>
                <w:iCs/>
                <w:sz w:val="24"/>
                <w:szCs w:val="24"/>
              </w:rPr>
            </w:pPr>
            <w:r w:rsidRPr="00C44EE6">
              <w:rPr>
                <w:i/>
                <w:iCs/>
                <w:sz w:val="24"/>
                <w:szCs w:val="24"/>
              </w:rPr>
              <w:t xml:space="preserve">     </w:t>
            </w:r>
            <w:r w:rsidRPr="00C44EE6">
              <w:rPr>
                <w:i/>
                <w:iCs/>
                <w:sz w:val="24"/>
                <w:szCs w:val="24"/>
                <w:lang w:eastAsia="en-US"/>
              </w:rPr>
              <w:t xml:space="preserve">Индекс потребительских цен, характеризующий уровень инфляции, в целом по </w:t>
            </w:r>
            <w:r w:rsidRPr="00C44EE6">
              <w:rPr>
                <w:i/>
                <w:iCs/>
                <w:sz w:val="24"/>
                <w:szCs w:val="24"/>
                <w:lang w:val="ky-KG" w:eastAsia="en-US"/>
              </w:rPr>
              <w:t>Джалал-Абадской</w:t>
            </w:r>
            <w:r w:rsidRPr="00C44EE6">
              <w:rPr>
                <w:i/>
                <w:iCs/>
                <w:sz w:val="24"/>
                <w:szCs w:val="24"/>
                <w:lang w:eastAsia="en-US"/>
              </w:rPr>
              <w:t xml:space="preserve"> области в январе-</w:t>
            </w:r>
            <w:r w:rsidRPr="00C44EE6">
              <w:rPr>
                <w:i/>
                <w:iCs/>
                <w:sz w:val="24"/>
                <w:szCs w:val="24"/>
                <w:lang w:val="ky-KG" w:eastAsia="en-US"/>
              </w:rPr>
              <w:t>декабре</w:t>
            </w:r>
            <w:r w:rsidRPr="00C44EE6">
              <w:rPr>
                <w:i/>
                <w:iCs/>
                <w:sz w:val="24"/>
                <w:szCs w:val="24"/>
                <w:lang w:eastAsia="en-US"/>
              </w:rPr>
              <w:t xml:space="preserve"> 202</w:t>
            </w:r>
            <w:r w:rsidR="00F21936" w:rsidRPr="00C44EE6">
              <w:rPr>
                <w:i/>
                <w:iCs/>
                <w:sz w:val="24"/>
                <w:szCs w:val="24"/>
                <w:lang w:eastAsia="en-US"/>
              </w:rPr>
              <w:t>4</w:t>
            </w:r>
            <w:r w:rsidRPr="00C44EE6">
              <w:rPr>
                <w:i/>
                <w:iCs/>
                <w:sz w:val="24"/>
                <w:szCs w:val="24"/>
                <w:lang w:eastAsia="en-US"/>
              </w:rPr>
              <w:t xml:space="preserve"> года (по сравнению с декабрем предыдущего года) составил</w:t>
            </w:r>
            <w:r w:rsidRPr="00C44EE6">
              <w:rPr>
                <w:i/>
                <w:iCs/>
                <w:sz w:val="24"/>
                <w:szCs w:val="24"/>
                <w:lang w:val="ky-KG" w:eastAsia="en-US"/>
              </w:rPr>
              <w:t>и</w:t>
            </w:r>
            <w:r w:rsidRPr="00C44EE6">
              <w:rPr>
                <w:i/>
                <w:iCs/>
                <w:sz w:val="24"/>
                <w:szCs w:val="24"/>
                <w:lang w:eastAsia="en-US"/>
              </w:rPr>
              <w:t xml:space="preserve"> 10</w:t>
            </w:r>
            <w:r w:rsidR="00F21936" w:rsidRPr="00C44EE6">
              <w:rPr>
                <w:i/>
                <w:iCs/>
                <w:sz w:val="24"/>
                <w:szCs w:val="24"/>
                <w:lang w:eastAsia="en-US"/>
              </w:rPr>
              <w:t>4,6</w:t>
            </w:r>
            <w:r w:rsidRPr="00C44EE6">
              <w:rPr>
                <w:i/>
                <w:iCs/>
                <w:sz w:val="24"/>
                <w:szCs w:val="24"/>
                <w:lang w:eastAsia="en-US"/>
              </w:rPr>
              <w:t xml:space="preserve"> процента, что является самым высоким показателем за </w:t>
            </w:r>
            <w:r w:rsidRPr="00C44EE6">
              <w:rPr>
                <w:i/>
                <w:iCs/>
                <w:sz w:val="24"/>
                <w:szCs w:val="24"/>
              </w:rPr>
              <w:t xml:space="preserve">последние пять лет. </w:t>
            </w:r>
          </w:p>
        </w:tc>
      </w:tr>
      <w:tr w:rsidR="00AC3F90" w:rsidRPr="00DC123A" w14:paraId="10895B13" w14:textId="77777777" w:rsidTr="004E69B9">
        <w:tc>
          <w:tcPr>
            <w:tcW w:w="4677" w:type="dxa"/>
          </w:tcPr>
          <w:p w14:paraId="14E58FFC" w14:textId="3CC4EF6E" w:rsidR="00AC3F90" w:rsidRPr="00A213B9" w:rsidRDefault="00AC3F90" w:rsidP="00AC3F90">
            <w:pPr>
              <w:pStyle w:val="a8"/>
              <w:spacing w:after="0"/>
              <w:ind w:left="0"/>
              <w:jc w:val="both"/>
              <w:rPr>
                <w:b/>
                <w:sz w:val="24"/>
                <w:lang w:val="ky-KG"/>
              </w:rPr>
            </w:pPr>
            <w:r w:rsidRPr="00A213B9">
              <w:rPr>
                <w:sz w:val="24"/>
                <w:lang w:val="ky-KG"/>
              </w:rPr>
              <w:t>202</w:t>
            </w:r>
            <w:r w:rsidR="00A213B9" w:rsidRPr="00A213B9">
              <w:rPr>
                <w:sz w:val="24"/>
                <w:lang w:val="ky-KG"/>
              </w:rPr>
              <w:t>4</w:t>
            </w:r>
            <w:r w:rsidRPr="00A213B9">
              <w:rPr>
                <w:sz w:val="24"/>
                <w:lang w:val="ky-KG"/>
              </w:rPr>
              <w:t xml:space="preserve">-жылы облустун финансылык эмес активдердин инвестициясына </w:t>
            </w:r>
            <w:r w:rsidR="00A213B9" w:rsidRPr="00A213B9">
              <w:rPr>
                <w:sz w:val="24"/>
                <w:lang w:val="ky-KG"/>
              </w:rPr>
              <w:t>34538,2</w:t>
            </w:r>
            <w:r w:rsidRPr="00A213B9">
              <w:rPr>
                <w:sz w:val="24"/>
                <w:lang w:val="ky-KG"/>
              </w:rPr>
              <w:t xml:space="preserve"> млн. сом салым тартылган.</w:t>
            </w:r>
          </w:p>
        </w:tc>
        <w:tc>
          <w:tcPr>
            <w:tcW w:w="4820" w:type="dxa"/>
          </w:tcPr>
          <w:p w14:paraId="45D17BDB" w14:textId="6A22249A" w:rsidR="00AC3F90" w:rsidRPr="00A213B9" w:rsidRDefault="00AC3F90" w:rsidP="00AC3F90">
            <w:pPr>
              <w:pStyle w:val="a8"/>
              <w:spacing w:after="0"/>
              <w:ind w:left="0"/>
              <w:jc w:val="both"/>
              <w:rPr>
                <w:i/>
                <w:sz w:val="24"/>
              </w:rPr>
            </w:pPr>
            <w:r w:rsidRPr="00A213B9">
              <w:rPr>
                <w:i/>
                <w:sz w:val="24"/>
              </w:rPr>
              <w:t>В экономику области в 20</w:t>
            </w:r>
            <w:r w:rsidRPr="00A213B9">
              <w:rPr>
                <w:i/>
                <w:sz w:val="24"/>
                <w:lang w:val="ky-KG"/>
              </w:rPr>
              <w:t>2</w:t>
            </w:r>
            <w:r w:rsidR="00A213B9" w:rsidRPr="00A213B9">
              <w:rPr>
                <w:i/>
                <w:sz w:val="24"/>
                <w:lang w:val="ky-KG"/>
              </w:rPr>
              <w:t>4</w:t>
            </w:r>
            <w:r w:rsidRPr="00A213B9">
              <w:rPr>
                <w:i/>
                <w:sz w:val="24"/>
              </w:rPr>
              <w:t xml:space="preserve"> г. вложено инвестиций в нефинансовые активы в сумме </w:t>
            </w:r>
            <w:r w:rsidR="00A213B9" w:rsidRPr="00A213B9">
              <w:rPr>
                <w:i/>
                <w:sz w:val="24"/>
                <w:lang w:val="ky-KG"/>
              </w:rPr>
              <w:t xml:space="preserve">34538,2 </w:t>
            </w:r>
            <w:r w:rsidRPr="00A213B9">
              <w:rPr>
                <w:i/>
                <w:sz w:val="24"/>
              </w:rPr>
              <w:t>млн. сомов.</w:t>
            </w:r>
          </w:p>
        </w:tc>
      </w:tr>
      <w:tr w:rsidR="00AC3F90" w:rsidRPr="00DC123A" w14:paraId="5F3C816B" w14:textId="77777777" w:rsidTr="004E69B9">
        <w:tc>
          <w:tcPr>
            <w:tcW w:w="4677" w:type="dxa"/>
          </w:tcPr>
          <w:p w14:paraId="0077AB91" w14:textId="17BA43BA" w:rsidR="00AC3F90" w:rsidRPr="00A213B9" w:rsidRDefault="00AC3F90" w:rsidP="00AC3F90">
            <w:pPr>
              <w:jc w:val="both"/>
              <w:rPr>
                <w:sz w:val="24"/>
                <w:lang w:val="ky-KG"/>
              </w:rPr>
            </w:pPr>
            <w:r w:rsidRPr="00A213B9">
              <w:rPr>
                <w:sz w:val="24"/>
                <w:lang w:val="ky-KG"/>
              </w:rPr>
              <w:t xml:space="preserve">     20</w:t>
            </w:r>
            <w:r w:rsidR="00A213B9" w:rsidRPr="00A213B9">
              <w:rPr>
                <w:sz w:val="24"/>
                <w:lang w:val="ky-KG"/>
              </w:rPr>
              <w:t>20</w:t>
            </w:r>
            <w:r w:rsidRPr="00A213B9">
              <w:rPr>
                <w:sz w:val="24"/>
                <w:lang w:val="ky-KG"/>
              </w:rPr>
              <w:t>–жылдан баштап облустагы объекттердин курулуш иштеринин өсүшүнө жана реконструкциясына  инвестициялык иштер жигердүү түрткү берип келет. 202</w:t>
            </w:r>
            <w:r w:rsidR="00A213B9" w:rsidRPr="00A213B9">
              <w:rPr>
                <w:sz w:val="24"/>
                <w:lang w:val="ky-KG"/>
              </w:rPr>
              <w:t>4</w:t>
            </w:r>
            <w:r w:rsidRPr="00A213B9">
              <w:rPr>
                <w:sz w:val="24"/>
                <w:lang w:val="ky-KG"/>
              </w:rPr>
              <w:t xml:space="preserve">–жылы экономиканын жана социалдык чөйрөнүн өнүгүүсүнө </w:t>
            </w:r>
            <w:r w:rsidR="00A213B9" w:rsidRPr="00A213B9">
              <w:rPr>
                <w:sz w:val="24"/>
                <w:lang w:val="ky-KG"/>
              </w:rPr>
              <w:t xml:space="preserve">33705,0 </w:t>
            </w:r>
            <w:r w:rsidRPr="00A213B9">
              <w:rPr>
                <w:sz w:val="24"/>
                <w:lang w:val="ky-KG"/>
              </w:rPr>
              <w:t>млн. сом капиталдык салым сарпталган.</w:t>
            </w:r>
          </w:p>
        </w:tc>
        <w:tc>
          <w:tcPr>
            <w:tcW w:w="4820" w:type="dxa"/>
          </w:tcPr>
          <w:p w14:paraId="09FD8DFB" w14:textId="3CD852BA" w:rsidR="00AC3F90" w:rsidRPr="00A213B9" w:rsidRDefault="00AC3F90" w:rsidP="00AC3F90">
            <w:pPr>
              <w:jc w:val="both"/>
              <w:rPr>
                <w:i/>
                <w:sz w:val="24"/>
              </w:rPr>
            </w:pPr>
            <w:r w:rsidRPr="00A213B9">
              <w:rPr>
                <w:i/>
                <w:sz w:val="24"/>
                <w:lang w:val="ky-KG"/>
              </w:rPr>
              <w:t xml:space="preserve">     </w:t>
            </w:r>
            <w:r w:rsidRPr="00A213B9">
              <w:rPr>
                <w:i/>
                <w:sz w:val="24"/>
              </w:rPr>
              <w:t>С 20</w:t>
            </w:r>
            <w:r w:rsidR="00A213B9" w:rsidRPr="00A213B9">
              <w:rPr>
                <w:i/>
                <w:sz w:val="24"/>
                <w:lang w:val="ky-KG"/>
              </w:rPr>
              <w:t>20</w:t>
            </w:r>
            <w:r w:rsidRPr="00A213B9">
              <w:rPr>
                <w:i/>
                <w:sz w:val="24"/>
              </w:rPr>
              <w:t xml:space="preserve"> года в области активно ведется </w:t>
            </w:r>
            <w:proofErr w:type="gramStart"/>
            <w:r w:rsidRPr="00A213B9">
              <w:rPr>
                <w:i/>
                <w:sz w:val="24"/>
              </w:rPr>
              <w:t>инвестиционная  деятельность</w:t>
            </w:r>
            <w:proofErr w:type="gramEnd"/>
            <w:r w:rsidRPr="00A213B9">
              <w:rPr>
                <w:i/>
                <w:sz w:val="24"/>
              </w:rPr>
              <w:t>, характеризующаяся ростом объемов строительства и реконструкции объектов. На развитие экономики и социальной сферы в 20</w:t>
            </w:r>
            <w:r w:rsidRPr="00A213B9">
              <w:rPr>
                <w:i/>
                <w:sz w:val="24"/>
                <w:lang w:val="ky-KG"/>
              </w:rPr>
              <w:t>2</w:t>
            </w:r>
            <w:r w:rsidR="00A213B9" w:rsidRPr="00A213B9">
              <w:rPr>
                <w:i/>
                <w:sz w:val="24"/>
                <w:lang w:val="ky-KG"/>
              </w:rPr>
              <w:t>4</w:t>
            </w:r>
            <w:r w:rsidRPr="00A213B9">
              <w:rPr>
                <w:i/>
                <w:sz w:val="24"/>
              </w:rPr>
              <w:t xml:space="preserve"> году использовано </w:t>
            </w:r>
            <w:r w:rsidR="00A213B9" w:rsidRPr="00A213B9">
              <w:rPr>
                <w:i/>
                <w:sz w:val="24"/>
                <w:lang w:val="ky-KG"/>
              </w:rPr>
              <w:t>33705,0</w:t>
            </w:r>
            <w:r w:rsidRPr="00A213B9">
              <w:rPr>
                <w:i/>
                <w:sz w:val="24"/>
              </w:rPr>
              <w:t xml:space="preserve"> млн. </w:t>
            </w:r>
            <w:proofErr w:type="gramStart"/>
            <w:r w:rsidRPr="00A213B9">
              <w:rPr>
                <w:i/>
                <w:sz w:val="24"/>
              </w:rPr>
              <w:t>сомов  капитальных</w:t>
            </w:r>
            <w:proofErr w:type="gramEnd"/>
            <w:r w:rsidRPr="00A213B9">
              <w:rPr>
                <w:i/>
                <w:sz w:val="24"/>
              </w:rPr>
              <w:t xml:space="preserve"> вложений.</w:t>
            </w:r>
          </w:p>
        </w:tc>
      </w:tr>
      <w:tr w:rsidR="00AC3F90" w:rsidRPr="00DC123A" w14:paraId="149F8BE2" w14:textId="77777777" w:rsidTr="004E69B9">
        <w:tc>
          <w:tcPr>
            <w:tcW w:w="4677" w:type="dxa"/>
          </w:tcPr>
          <w:p w14:paraId="2F3DC3CC" w14:textId="6ACCD99E" w:rsidR="00AC3F90" w:rsidRPr="005D44B2" w:rsidRDefault="00AC3F90" w:rsidP="00AC3F90">
            <w:pPr>
              <w:jc w:val="both"/>
              <w:rPr>
                <w:i/>
                <w:sz w:val="24"/>
                <w:lang w:val="ky-KG"/>
              </w:rPr>
            </w:pPr>
            <w:r w:rsidRPr="005D44B2">
              <w:rPr>
                <w:sz w:val="24"/>
                <w:lang w:val="ky-KG"/>
              </w:rPr>
              <w:t xml:space="preserve">       202</w:t>
            </w:r>
            <w:r w:rsidR="005D44B2" w:rsidRPr="005D44B2">
              <w:rPr>
                <w:sz w:val="24"/>
                <w:lang w:val="ky-KG"/>
              </w:rPr>
              <w:t>4</w:t>
            </w:r>
            <w:r w:rsidRPr="005D44B2">
              <w:rPr>
                <w:sz w:val="24"/>
                <w:lang w:val="ky-KG"/>
              </w:rPr>
              <w:t xml:space="preserve">-жылы </w:t>
            </w:r>
            <w:r w:rsidRPr="005D44B2">
              <w:rPr>
                <w:rFonts w:ascii="Times New Roman UniToktom" w:hAnsi="Times New Roman UniToktom" w:cs="Times New Roman UniToktom"/>
                <w:sz w:val="24"/>
                <w:lang w:val="ky-KG"/>
              </w:rPr>
              <w:t>экономиканын реалдуу секторунан</w:t>
            </w:r>
            <w:r w:rsidRPr="005D44B2">
              <w:rPr>
                <w:sz w:val="24"/>
                <w:lang w:val="ky-KG"/>
              </w:rPr>
              <w:t xml:space="preserve"> продукциялык иштерди, кызмат көрсөтүүлөрдү өткөрүүдөн түшкөн дүң киреше 20</w:t>
            </w:r>
            <w:r w:rsidR="005D44B2" w:rsidRPr="005D44B2">
              <w:rPr>
                <w:sz w:val="24"/>
                <w:lang w:val="ky-KG"/>
              </w:rPr>
              <w:t>20</w:t>
            </w:r>
            <w:r w:rsidRPr="005D44B2">
              <w:rPr>
                <w:sz w:val="24"/>
                <w:lang w:val="ky-KG"/>
              </w:rPr>
              <w:t>-жылга салыштырмалуу 2,</w:t>
            </w:r>
            <w:r w:rsidR="005D44B2" w:rsidRPr="005D44B2">
              <w:rPr>
                <w:sz w:val="24"/>
                <w:lang w:val="ky-KG"/>
              </w:rPr>
              <w:t>5</w:t>
            </w:r>
            <w:r w:rsidRPr="005D44B2">
              <w:rPr>
                <w:sz w:val="24"/>
                <w:lang w:val="ky-KG"/>
              </w:rPr>
              <w:t xml:space="preserve"> эсеге көбөйүп, </w:t>
            </w:r>
            <w:r w:rsidR="005D44B2" w:rsidRPr="005D44B2">
              <w:rPr>
                <w:sz w:val="24"/>
                <w:lang w:val="ky-KG"/>
              </w:rPr>
              <w:t>80092,8</w:t>
            </w:r>
            <w:r w:rsidRPr="005D44B2">
              <w:rPr>
                <w:sz w:val="24"/>
                <w:lang w:val="ky-KG"/>
              </w:rPr>
              <w:t xml:space="preserve"> млн. сомду түздү.</w:t>
            </w:r>
          </w:p>
        </w:tc>
        <w:tc>
          <w:tcPr>
            <w:tcW w:w="4820" w:type="dxa"/>
          </w:tcPr>
          <w:p w14:paraId="6F8D23B3" w14:textId="674FBE58" w:rsidR="00AC3F90" w:rsidRPr="005D44B2" w:rsidRDefault="00AC3F90" w:rsidP="00AC3F90">
            <w:pPr>
              <w:jc w:val="both"/>
              <w:rPr>
                <w:i/>
                <w:sz w:val="24"/>
              </w:rPr>
            </w:pPr>
            <w:r w:rsidRPr="005D44B2">
              <w:rPr>
                <w:i/>
                <w:sz w:val="24"/>
                <w:lang w:val="ky-KG"/>
              </w:rPr>
              <w:t xml:space="preserve">      Валовой доход предприятий от реализации продукции, работ, услуг реа</w:t>
            </w:r>
            <w:proofErr w:type="spellStart"/>
            <w:r w:rsidRPr="005D44B2">
              <w:rPr>
                <w:i/>
                <w:sz w:val="24"/>
              </w:rPr>
              <w:t>льного</w:t>
            </w:r>
            <w:proofErr w:type="spellEnd"/>
            <w:r w:rsidRPr="005D44B2">
              <w:rPr>
                <w:i/>
                <w:sz w:val="24"/>
              </w:rPr>
              <w:t xml:space="preserve"> сектора экономики в 20</w:t>
            </w:r>
            <w:r w:rsidRPr="005D44B2">
              <w:rPr>
                <w:i/>
                <w:sz w:val="24"/>
                <w:lang w:val="ky-KG"/>
              </w:rPr>
              <w:t>2</w:t>
            </w:r>
            <w:r w:rsidR="005D44B2" w:rsidRPr="005D44B2">
              <w:rPr>
                <w:i/>
                <w:sz w:val="24"/>
                <w:lang w:val="ky-KG"/>
              </w:rPr>
              <w:t>4</w:t>
            </w:r>
            <w:r w:rsidRPr="005D44B2">
              <w:rPr>
                <w:i/>
                <w:sz w:val="24"/>
              </w:rPr>
              <w:t xml:space="preserve"> году по сравнению с 20 годом увеличился </w:t>
            </w:r>
            <w:r w:rsidRPr="005D44B2">
              <w:rPr>
                <w:i/>
                <w:sz w:val="24"/>
                <w:lang w:val="ky-KG"/>
              </w:rPr>
              <w:t xml:space="preserve"> в 2,</w:t>
            </w:r>
            <w:r w:rsidR="005D44B2" w:rsidRPr="005D44B2">
              <w:rPr>
                <w:i/>
                <w:sz w:val="24"/>
                <w:lang w:val="ky-KG"/>
              </w:rPr>
              <w:t>5</w:t>
            </w:r>
            <w:r w:rsidRPr="005D44B2">
              <w:rPr>
                <w:i/>
                <w:sz w:val="24"/>
                <w:lang w:val="ky-KG"/>
              </w:rPr>
              <w:t xml:space="preserve"> раза</w:t>
            </w:r>
            <w:r w:rsidRPr="005D44B2">
              <w:rPr>
                <w:i/>
                <w:sz w:val="24"/>
              </w:rPr>
              <w:t xml:space="preserve"> и составил </w:t>
            </w:r>
            <w:r w:rsidR="005D44B2" w:rsidRPr="005D44B2">
              <w:rPr>
                <w:i/>
                <w:sz w:val="24"/>
              </w:rPr>
              <w:t>80092,8</w:t>
            </w:r>
            <w:r w:rsidRPr="005D44B2">
              <w:rPr>
                <w:i/>
                <w:sz w:val="24"/>
              </w:rPr>
              <w:t xml:space="preserve"> млн. сомов.</w:t>
            </w:r>
          </w:p>
        </w:tc>
      </w:tr>
      <w:tr w:rsidR="00AC3F90" w:rsidRPr="00DC123A" w14:paraId="45CFA23C" w14:textId="77777777" w:rsidTr="004E69B9">
        <w:tc>
          <w:tcPr>
            <w:tcW w:w="4677" w:type="dxa"/>
          </w:tcPr>
          <w:p w14:paraId="5BA8AE52" w14:textId="7ACAACCB" w:rsidR="00AC3F90" w:rsidRPr="005D44B2" w:rsidRDefault="00AC3F90" w:rsidP="00AC3F90">
            <w:pPr>
              <w:jc w:val="both"/>
              <w:rPr>
                <w:rFonts w:ascii="Times New Roman UniToktom" w:hAnsi="Times New Roman UniToktom" w:cs="Times New Roman UniToktom"/>
                <w:sz w:val="24"/>
                <w:szCs w:val="24"/>
                <w:lang w:val="ky-KG"/>
              </w:rPr>
            </w:pPr>
            <w:r w:rsidRPr="005D44B2">
              <w:rPr>
                <w:b/>
                <w:sz w:val="24"/>
                <w:szCs w:val="24"/>
                <w:lang w:val="ky-KG"/>
              </w:rPr>
              <w:t xml:space="preserve">      </w:t>
            </w:r>
            <w:r w:rsidRPr="005D44B2">
              <w:rPr>
                <w:rFonts w:ascii="Times New Roman UniToktom" w:hAnsi="Times New Roman UniToktom" w:cs="Times New Roman UniToktom"/>
                <w:sz w:val="24"/>
                <w:szCs w:val="24"/>
                <w:lang w:val="ky-KG"/>
              </w:rPr>
              <w:t>Республикалык бюджеттин кирешеси    202</w:t>
            </w:r>
            <w:r w:rsidR="005D44B2" w:rsidRPr="005D44B2">
              <w:rPr>
                <w:rFonts w:ascii="Times New Roman UniToktom" w:hAnsi="Times New Roman UniToktom" w:cs="Times New Roman UniToktom"/>
                <w:sz w:val="24"/>
                <w:szCs w:val="24"/>
                <w:lang w:val="ky-KG"/>
              </w:rPr>
              <w:t>4</w:t>
            </w:r>
            <w:r w:rsidRPr="005D44B2">
              <w:rPr>
                <w:rFonts w:ascii="Times New Roman UniToktom" w:hAnsi="Times New Roman UniToktom" w:cs="Times New Roman UniToktom"/>
                <w:sz w:val="24"/>
                <w:szCs w:val="24"/>
                <w:lang w:val="ky-KG"/>
              </w:rPr>
              <w:t xml:space="preserve">-жылдын </w:t>
            </w:r>
            <w:r w:rsidRPr="005D44B2">
              <w:rPr>
                <w:sz w:val="24"/>
                <w:lang w:val="ky-KG"/>
              </w:rPr>
              <w:t>(финансылык эмес активдерди сатуудан түшкөн киреше кошкондо), 1</w:t>
            </w:r>
            <w:r w:rsidR="005D44B2" w:rsidRPr="005D44B2">
              <w:rPr>
                <w:sz w:val="24"/>
                <w:lang w:val="ky-KG"/>
              </w:rPr>
              <w:t>5195,2</w:t>
            </w:r>
            <w:r w:rsidRPr="005D44B2">
              <w:rPr>
                <w:rFonts w:ascii="Times New Roman UniToktom" w:hAnsi="Times New Roman UniToktom" w:cs="Times New Roman UniToktom"/>
                <w:sz w:val="24"/>
                <w:szCs w:val="24"/>
                <w:lang w:val="ky-KG"/>
              </w:rPr>
              <w:t xml:space="preserve"> млн. сом көлөмүндө аткарылды, анын ичинен 100 пайызы  же   </w:t>
            </w:r>
          </w:p>
          <w:p w14:paraId="158AEDFB" w14:textId="5D5883E4" w:rsidR="00AC3F90" w:rsidRPr="005D44B2" w:rsidRDefault="00AC3F90" w:rsidP="00AC3F90">
            <w:pPr>
              <w:jc w:val="both"/>
              <w:rPr>
                <w:sz w:val="24"/>
                <w:lang w:val="ky-KG"/>
              </w:rPr>
            </w:pPr>
            <w:r w:rsidRPr="005D44B2">
              <w:rPr>
                <w:rFonts w:ascii="Times New Roman UniToktom" w:hAnsi="Times New Roman UniToktom" w:cs="Times New Roman UniToktom"/>
                <w:sz w:val="24"/>
                <w:szCs w:val="24"/>
                <w:lang w:val="ky-KG"/>
              </w:rPr>
              <w:t>1</w:t>
            </w:r>
            <w:r w:rsidR="005D44B2" w:rsidRPr="005D44B2">
              <w:rPr>
                <w:rFonts w:ascii="Times New Roman UniToktom" w:hAnsi="Times New Roman UniToktom" w:cs="Times New Roman UniToktom"/>
                <w:sz w:val="24"/>
                <w:szCs w:val="24"/>
                <w:lang w:val="ky-KG"/>
              </w:rPr>
              <w:t>5195,2</w:t>
            </w:r>
            <w:r w:rsidRPr="005D44B2">
              <w:rPr>
                <w:rFonts w:ascii="Times New Roman UniToktom" w:hAnsi="Times New Roman UniToktom" w:cs="Times New Roman UniToktom"/>
                <w:sz w:val="24"/>
                <w:szCs w:val="24"/>
                <w:lang w:val="ky-KG"/>
              </w:rPr>
              <w:t xml:space="preserve"> млн. сом операциялык ишмер-диктен түшкөн киреше болду</w:t>
            </w:r>
          </w:p>
        </w:tc>
        <w:tc>
          <w:tcPr>
            <w:tcW w:w="4820" w:type="dxa"/>
          </w:tcPr>
          <w:p w14:paraId="0DD880BE" w14:textId="7B43B9A0" w:rsidR="00AC3F90" w:rsidRPr="005D44B2" w:rsidRDefault="00AC3F90" w:rsidP="00AC3F90">
            <w:pPr>
              <w:jc w:val="both"/>
              <w:rPr>
                <w:i/>
                <w:sz w:val="24"/>
                <w:lang w:val="ky-KG"/>
              </w:rPr>
            </w:pPr>
            <w:r w:rsidRPr="005D44B2">
              <w:rPr>
                <w:rFonts w:ascii="Times New Roman UniToktom" w:hAnsi="Times New Roman UniToktom" w:cs="Times New Roman UniToktom"/>
                <w:i/>
                <w:sz w:val="24"/>
                <w:szCs w:val="24"/>
              </w:rPr>
              <w:t>Доход</w:t>
            </w:r>
            <w:r w:rsidRPr="005D44B2">
              <w:rPr>
                <w:rFonts w:ascii="Times New Roman UniToktom" w:hAnsi="Times New Roman UniToktom" w:cs="Times New Roman UniToktom"/>
                <w:i/>
                <w:sz w:val="24"/>
                <w:szCs w:val="24"/>
                <w:lang w:val="ky-KG"/>
              </w:rPr>
              <w:t>ная часть</w:t>
            </w:r>
            <w:r w:rsidRPr="005D44B2">
              <w:rPr>
                <w:rFonts w:ascii="Times New Roman UniToktom" w:hAnsi="Times New Roman UniToktom" w:cs="Times New Roman UniToktom"/>
                <w:i/>
                <w:sz w:val="24"/>
                <w:szCs w:val="24"/>
              </w:rPr>
              <w:t xml:space="preserve"> республиканского бюджета в 20</w:t>
            </w:r>
            <w:r w:rsidRPr="005D44B2">
              <w:rPr>
                <w:rFonts w:ascii="Times New Roman UniToktom" w:hAnsi="Times New Roman UniToktom" w:cs="Times New Roman UniToktom"/>
                <w:i/>
                <w:sz w:val="24"/>
                <w:szCs w:val="24"/>
                <w:lang w:val="ky-KG"/>
              </w:rPr>
              <w:t>2</w:t>
            </w:r>
            <w:r w:rsidR="005D44B2" w:rsidRPr="005D44B2">
              <w:rPr>
                <w:rFonts w:ascii="Times New Roman UniToktom" w:hAnsi="Times New Roman UniToktom" w:cs="Times New Roman UniToktom"/>
                <w:i/>
                <w:sz w:val="24"/>
                <w:szCs w:val="24"/>
                <w:lang w:val="ky-KG"/>
              </w:rPr>
              <w:t>4</w:t>
            </w:r>
            <w:r w:rsidRPr="005D44B2">
              <w:rPr>
                <w:rFonts w:ascii="Times New Roman UniToktom" w:hAnsi="Times New Roman UniToktom" w:cs="Times New Roman UniToktom"/>
                <w:i/>
                <w:sz w:val="24"/>
                <w:szCs w:val="24"/>
              </w:rPr>
              <w:t xml:space="preserve"> год</w:t>
            </w:r>
            <w:r w:rsidRPr="005D44B2">
              <w:rPr>
                <w:rFonts w:ascii="Times New Roman UniToktom" w:hAnsi="Times New Roman UniToktom" w:cs="Times New Roman UniToktom"/>
                <w:i/>
                <w:sz w:val="24"/>
                <w:szCs w:val="24"/>
                <w:lang w:val="ky-KG"/>
              </w:rPr>
              <w:t>у</w:t>
            </w:r>
            <w:r w:rsidRPr="005D44B2">
              <w:rPr>
                <w:rFonts w:ascii="Times New Roman UniToktom" w:hAnsi="Times New Roman UniToktom" w:cs="Times New Roman UniToktom"/>
                <w:i/>
                <w:sz w:val="24"/>
                <w:szCs w:val="24"/>
              </w:rPr>
              <w:t xml:space="preserve"> </w:t>
            </w:r>
            <w:r w:rsidRPr="005D44B2">
              <w:rPr>
                <w:i/>
                <w:sz w:val="24"/>
              </w:rPr>
              <w:t>(включая поступления от</w:t>
            </w:r>
            <w:r w:rsidRPr="005D44B2">
              <w:rPr>
                <w:i/>
                <w:sz w:val="24"/>
                <w:lang w:val="ky-KG"/>
              </w:rPr>
              <w:t xml:space="preserve"> </w:t>
            </w:r>
            <w:r w:rsidRPr="005D44B2">
              <w:rPr>
                <w:i/>
                <w:sz w:val="24"/>
              </w:rPr>
              <w:t>продажи</w:t>
            </w:r>
            <w:r w:rsidRPr="005D44B2">
              <w:rPr>
                <w:i/>
                <w:sz w:val="24"/>
                <w:lang w:val="ky-KG"/>
              </w:rPr>
              <w:t xml:space="preserve"> </w:t>
            </w:r>
            <w:r w:rsidRPr="005D44B2">
              <w:rPr>
                <w:i/>
                <w:sz w:val="24"/>
              </w:rPr>
              <w:t>нефинансовых активов)</w:t>
            </w:r>
            <w:r w:rsidRPr="005D44B2">
              <w:rPr>
                <w:i/>
                <w:sz w:val="24"/>
                <w:lang w:val="ky-KG"/>
              </w:rPr>
              <w:t xml:space="preserve"> </w:t>
            </w:r>
            <w:r w:rsidRPr="005D44B2">
              <w:rPr>
                <w:rFonts w:ascii="Times New Roman UniToktom" w:hAnsi="Times New Roman UniToktom" w:cs="Times New Roman UniToktom"/>
                <w:i/>
                <w:sz w:val="24"/>
                <w:szCs w:val="24"/>
              </w:rPr>
              <w:t xml:space="preserve">исполнены в размере </w:t>
            </w:r>
            <w:r w:rsidR="005D44B2" w:rsidRPr="005D44B2">
              <w:rPr>
                <w:rFonts w:ascii="Times New Roman UniToktom" w:hAnsi="Times New Roman UniToktom" w:cs="Times New Roman UniToktom"/>
                <w:i/>
                <w:sz w:val="24"/>
                <w:szCs w:val="24"/>
              </w:rPr>
              <w:t>15195,2</w:t>
            </w:r>
            <w:r w:rsidRPr="005D44B2">
              <w:rPr>
                <w:rFonts w:ascii="Times New Roman UniToktom" w:hAnsi="Times New Roman UniToktom" w:cs="Times New Roman UniToktom"/>
                <w:i/>
                <w:sz w:val="24"/>
                <w:szCs w:val="24"/>
                <w:lang w:val="ky-KG"/>
              </w:rPr>
              <w:t xml:space="preserve"> млн.</w:t>
            </w:r>
            <w:r w:rsidRPr="005D44B2">
              <w:rPr>
                <w:rFonts w:ascii="Times New Roman UniToktom" w:hAnsi="Times New Roman UniToktom" w:cs="Times New Roman UniToktom"/>
                <w:i/>
                <w:sz w:val="24"/>
                <w:szCs w:val="24"/>
              </w:rPr>
              <w:t xml:space="preserve"> сомов, из них доходы от операционной деятельности составили </w:t>
            </w:r>
            <w:r w:rsidRPr="005D44B2">
              <w:rPr>
                <w:rFonts w:ascii="Times New Roman UniToktom" w:hAnsi="Times New Roman UniToktom" w:cs="Times New Roman UniToktom"/>
                <w:i/>
                <w:sz w:val="24"/>
                <w:szCs w:val="24"/>
                <w:lang w:val="ky-KG"/>
              </w:rPr>
              <w:t>1</w:t>
            </w:r>
            <w:r w:rsidR="005D44B2" w:rsidRPr="005D44B2">
              <w:rPr>
                <w:rFonts w:ascii="Times New Roman UniToktom" w:hAnsi="Times New Roman UniToktom" w:cs="Times New Roman UniToktom"/>
                <w:i/>
                <w:sz w:val="24"/>
                <w:szCs w:val="24"/>
                <w:lang w:val="ky-KG"/>
              </w:rPr>
              <w:t>5195,2</w:t>
            </w:r>
            <w:r w:rsidRPr="005D44B2">
              <w:rPr>
                <w:rFonts w:ascii="Times New Roman UniToktom" w:hAnsi="Times New Roman UniToktom" w:cs="Times New Roman UniToktom"/>
                <w:i/>
                <w:sz w:val="24"/>
                <w:szCs w:val="24"/>
                <w:lang w:val="ky-KG"/>
              </w:rPr>
              <w:t xml:space="preserve"> млн</w:t>
            </w:r>
            <w:r w:rsidRPr="005D44B2">
              <w:rPr>
                <w:rFonts w:ascii="Times New Roman UniToktom" w:hAnsi="Times New Roman UniToktom" w:cs="Times New Roman UniToktom"/>
                <w:i/>
                <w:sz w:val="24"/>
                <w:szCs w:val="24"/>
              </w:rPr>
              <w:t xml:space="preserve">. сомов или </w:t>
            </w:r>
            <w:r w:rsidRPr="005D44B2">
              <w:rPr>
                <w:rFonts w:ascii="Times New Roman UniToktom" w:hAnsi="Times New Roman UniToktom" w:cs="Times New Roman UniToktom"/>
                <w:i/>
                <w:sz w:val="24"/>
                <w:szCs w:val="24"/>
                <w:lang w:val="ky-KG"/>
              </w:rPr>
              <w:t>100</w:t>
            </w:r>
            <w:r w:rsidRPr="005D44B2">
              <w:rPr>
                <w:rFonts w:ascii="Times New Roman UniToktom" w:hAnsi="Times New Roman UniToktom" w:cs="Times New Roman UniToktom"/>
                <w:i/>
                <w:sz w:val="24"/>
                <w:szCs w:val="24"/>
              </w:rPr>
              <w:t xml:space="preserve"> процентов.</w:t>
            </w:r>
          </w:p>
        </w:tc>
      </w:tr>
      <w:tr w:rsidR="00AC3F90" w:rsidRPr="00DC123A" w14:paraId="4ABF551B" w14:textId="77777777" w:rsidTr="004E69B9">
        <w:tc>
          <w:tcPr>
            <w:tcW w:w="4677" w:type="dxa"/>
          </w:tcPr>
          <w:p w14:paraId="47C60856" w14:textId="5A4C4762" w:rsidR="00AC3F90" w:rsidRPr="005D44B2" w:rsidRDefault="00AC3F90" w:rsidP="00AC3F90">
            <w:pPr>
              <w:jc w:val="both"/>
              <w:rPr>
                <w:sz w:val="24"/>
                <w:lang w:val="ky-KG"/>
              </w:rPr>
            </w:pPr>
            <w:r w:rsidRPr="005D44B2">
              <w:rPr>
                <w:sz w:val="24"/>
                <w:lang w:val="ky-KG"/>
              </w:rPr>
              <w:t xml:space="preserve">     20</w:t>
            </w:r>
            <w:r w:rsidR="005D44B2" w:rsidRPr="005D44B2">
              <w:rPr>
                <w:sz w:val="24"/>
                <w:lang w:val="ky-KG"/>
              </w:rPr>
              <w:t>20</w:t>
            </w:r>
            <w:r w:rsidRPr="005D44B2">
              <w:rPr>
                <w:sz w:val="24"/>
                <w:lang w:val="ky-KG"/>
              </w:rPr>
              <w:t>-202</w:t>
            </w:r>
            <w:r w:rsidR="005D44B2" w:rsidRPr="005D44B2">
              <w:rPr>
                <w:sz w:val="24"/>
                <w:lang w:val="ky-KG"/>
              </w:rPr>
              <w:t>4</w:t>
            </w:r>
            <w:r w:rsidRPr="005D44B2">
              <w:rPr>
                <w:sz w:val="24"/>
                <w:lang w:val="ky-KG"/>
              </w:rPr>
              <w:t xml:space="preserve">-жылдары жергиликтүү бюджеттин бардык кирешелери </w:t>
            </w:r>
            <w:r w:rsidR="005D44B2" w:rsidRPr="005D44B2">
              <w:rPr>
                <w:sz w:val="24"/>
                <w:lang w:val="ky-KG"/>
              </w:rPr>
              <w:t>2575,4</w:t>
            </w:r>
            <w:r w:rsidRPr="005D44B2">
              <w:rPr>
                <w:sz w:val="24"/>
                <w:lang w:val="ky-KG"/>
              </w:rPr>
              <w:t xml:space="preserve"> млн. сомдон </w:t>
            </w:r>
            <w:r w:rsidR="005D44B2" w:rsidRPr="005D44B2">
              <w:rPr>
                <w:sz w:val="24"/>
                <w:lang w:val="ky-KG"/>
              </w:rPr>
              <w:t>7547,6</w:t>
            </w:r>
            <w:r w:rsidRPr="005D44B2">
              <w:rPr>
                <w:sz w:val="24"/>
                <w:lang w:val="ky-KG"/>
              </w:rPr>
              <w:t xml:space="preserve"> млн. сомго чейин өскөн (финансылык эмес активдерди сатууну кошкондо)   2,5 эсеге  көбөйгөн же (</w:t>
            </w:r>
            <w:r w:rsidR="005D44B2" w:rsidRPr="005D44B2">
              <w:rPr>
                <w:sz w:val="24"/>
                <w:lang w:val="ky-KG"/>
              </w:rPr>
              <w:t>4972,2</w:t>
            </w:r>
            <w:r w:rsidRPr="005D44B2">
              <w:rPr>
                <w:sz w:val="24"/>
                <w:lang w:val="ky-KG"/>
              </w:rPr>
              <w:t xml:space="preserve"> млн. сомго).</w:t>
            </w:r>
          </w:p>
        </w:tc>
        <w:tc>
          <w:tcPr>
            <w:tcW w:w="4820" w:type="dxa"/>
          </w:tcPr>
          <w:p w14:paraId="133A9DAB" w14:textId="76D1013B" w:rsidR="00AC3F90" w:rsidRPr="005D44B2" w:rsidRDefault="00AC3F90" w:rsidP="00AC3F90">
            <w:pPr>
              <w:jc w:val="both"/>
              <w:rPr>
                <w:i/>
                <w:sz w:val="24"/>
              </w:rPr>
            </w:pPr>
            <w:r w:rsidRPr="005D44B2">
              <w:rPr>
                <w:i/>
                <w:sz w:val="24"/>
                <w:lang w:val="ky-KG"/>
              </w:rPr>
              <w:t xml:space="preserve">     </w:t>
            </w:r>
            <w:r w:rsidRPr="005D44B2">
              <w:rPr>
                <w:i/>
                <w:sz w:val="24"/>
              </w:rPr>
              <w:t>За 20</w:t>
            </w:r>
            <w:r w:rsidR="005D44B2" w:rsidRPr="005D44B2">
              <w:rPr>
                <w:i/>
                <w:sz w:val="24"/>
              </w:rPr>
              <w:t>20</w:t>
            </w:r>
            <w:r w:rsidRPr="005D44B2">
              <w:rPr>
                <w:i/>
                <w:sz w:val="24"/>
              </w:rPr>
              <w:t>-20</w:t>
            </w:r>
            <w:r w:rsidRPr="005D44B2">
              <w:rPr>
                <w:i/>
                <w:sz w:val="24"/>
                <w:lang w:val="ky-KG"/>
              </w:rPr>
              <w:t>2</w:t>
            </w:r>
            <w:r w:rsidR="005D44B2" w:rsidRPr="005D44B2">
              <w:rPr>
                <w:i/>
                <w:sz w:val="24"/>
                <w:lang w:val="ky-KG"/>
              </w:rPr>
              <w:t>4</w:t>
            </w:r>
            <w:r w:rsidRPr="005D44B2">
              <w:rPr>
                <w:i/>
                <w:sz w:val="24"/>
              </w:rPr>
              <w:t xml:space="preserve"> годы поступления в доходную часть местного бюджета</w:t>
            </w:r>
            <w:r w:rsidRPr="005D44B2">
              <w:rPr>
                <w:i/>
                <w:sz w:val="24"/>
                <w:lang w:val="ky-KG"/>
              </w:rPr>
              <w:t xml:space="preserve"> увеличились</w:t>
            </w:r>
            <w:r w:rsidRPr="005D44B2">
              <w:rPr>
                <w:i/>
                <w:sz w:val="24"/>
              </w:rPr>
              <w:t xml:space="preserve"> с </w:t>
            </w:r>
            <w:r w:rsidR="005D44B2" w:rsidRPr="005D44B2">
              <w:rPr>
                <w:i/>
                <w:sz w:val="24"/>
              </w:rPr>
              <w:t>2575,4</w:t>
            </w:r>
            <w:r w:rsidRPr="005D44B2">
              <w:rPr>
                <w:i/>
                <w:sz w:val="24"/>
              </w:rPr>
              <w:t xml:space="preserve"> млн. сомов</w:t>
            </w:r>
            <w:r w:rsidRPr="005D44B2">
              <w:rPr>
                <w:i/>
                <w:sz w:val="24"/>
                <w:lang w:val="ky-KG"/>
              </w:rPr>
              <w:t xml:space="preserve"> </w:t>
            </w:r>
            <w:r w:rsidRPr="005D44B2">
              <w:rPr>
                <w:i/>
                <w:sz w:val="24"/>
              </w:rPr>
              <w:t xml:space="preserve">до </w:t>
            </w:r>
            <w:r w:rsidR="005D44B2" w:rsidRPr="005D44B2">
              <w:rPr>
                <w:i/>
                <w:sz w:val="24"/>
              </w:rPr>
              <w:t>7547,6</w:t>
            </w:r>
            <w:r w:rsidRPr="005D44B2">
              <w:rPr>
                <w:i/>
                <w:sz w:val="24"/>
              </w:rPr>
              <w:t xml:space="preserve"> млн. сомов</w:t>
            </w:r>
            <w:r w:rsidRPr="005D44B2">
              <w:rPr>
                <w:i/>
                <w:sz w:val="24"/>
                <w:lang w:val="ky-KG"/>
              </w:rPr>
              <w:t xml:space="preserve"> </w:t>
            </w:r>
            <w:r w:rsidRPr="005D44B2">
              <w:rPr>
                <w:i/>
                <w:sz w:val="24"/>
              </w:rPr>
              <w:t xml:space="preserve">(включая поступления от продажи нефинансовых активов), </w:t>
            </w:r>
            <w:r w:rsidRPr="005D44B2">
              <w:rPr>
                <w:i/>
                <w:sz w:val="24"/>
                <w:lang w:val="ky-KG"/>
              </w:rPr>
              <w:t>в 2,5 раза</w:t>
            </w:r>
            <w:r w:rsidRPr="005D44B2">
              <w:rPr>
                <w:i/>
                <w:sz w:val="24"/>
              </w:rPr>
              <w:t xml:space="preserve"> </w:t>
            </w:r>
            <w:r w:rsidRPr="005D44B2">
              <w:rPr>
                <w:i/>
                <w:sz w:val="24"/>
                <w:lang w:val="ky-KG"/>
              </w:rPr>
              <w:t xml:space="preserve">или на </w:t>
            </w:r>
            <w:r w:rsidR="005D44B2" w:rsidRPr="005D44B2">
              <w:rPr>
                <w:i/>
                <w:sz w:val="24"/>
                <w:lang w:val="ky-KG"/>
              </w:rPr>
              <w:t>4972,2</w:t>
            </w:r>
            <w:r w:rsidRPr="005D44B2">
              <w:rPr>
                <w:i/>
                <w:sz w:val="24"/>
              </w:rPr>
              <w:t xml:space="preserve"> млн. сомов.</w:t>
            </w:r>
          </w:p>
        </w:tc>
      </w:tr>
      <w:tr w:rsidR="00AC3F90" w:rsidRPr="00DC123A" w14:paraId="459C55B5" w14:textId="77777777" w:rsidTr="00431E8A">
        <w:tc>
          <w:tcPr>
            <w:tcW w:w="4677" w:type="dxa"/>
          </w:tcPr>
          <w:p w14:paraId="2930B830" w14:textId="57BA7B38" w:rsidR="00AC3F90" w:rsidRPr="00A213B9" w:rsidRDefault="00AC3F90" w:rsidP="00AC3F90">
            <w:pPr>
              <w:jc w:val="both"/>
              <w:rPr>
                <w:sz w:val="24"/>
                <w:lang w:val="ky-KG"/>
              </w:rPr>
            </w:pPr>
            <w:r w:rsidRPr="00A213B9">
              <w:rPr>
                <w:sz w:val="24"/>
                <w:lang w:val="ky-KG"/>
              </w:rPr>
              <w:t xml:space="preserve">       Жалал-Абад  облусунун соода уюмдарынын ишканаларынын, дыйкан чарбаларынын, жеке адамдардын жакынкы жана алыскы чет өлкөлөр менен тышкы соода жүгүртүүсү жүк бажы декларациясынын маалыматтары боюнча өз ара соода жүгүртүүсү 202</w:t>
            </w:r>
            <w:r w:rsidR="00A213B9" w:rsidRPr="00A213B9">
              <w:rPr>
                <w:sz w:val="24"/>
                <w:lang w:val="ky-KG"/>
              </w:rPr>
              <w:t>4</w:t>
            </w:r>
            <w:r w:rsidRPr="00A213B9">
              <w:rPr>
                <w:sz w:val="24"/>
                <w:lang w:val="ky-KG"/>
              </w:rPr>
              <w:t xml:space="preserve"> - жылы </w:t>
            </w:r>
            <w:r w:rsidR="00A213B9" w:rsidRPr="00A213B9">
              <w:rPr>
                <w:sz w:val="24"/>
                <w:lang w:val="ky-KG"/>
              </w:rPr>
              <w:t>502,8</w:t>
            </w:r>
            <w:r w:rsidRPr="00A213B9">
              <w:rPr>
                <w:rFonts w:ascii="Times New Roman UniToktom" w:hAnsi="Times New Roman UniToktom" w:cs="Times New Roman UniToktom"/>
                <w:sz w:val="24"/>
                <w:szCs w:val="24"/>
                <w:lang w:val="ky-KG"/>
              </w:rPr>
              <w:t xml:space="preserve"> млн. </w:t>
            </w:r>
            <w:r w:rsidRPr="00A213B9">
              <w:rPr>
                <w:sz w:val="24"/>
                <w:lang w:val="ky-KG"/>
              </w:rPr>
              <w:t>АКШ долларын түздү (уюш-турулбаган сооданы кошпогондо).</w:t>
            </w:r>
          </w:p>
          <w:p w14:paraId="4D16D8F0" w14:textId="77777777" w:rsidR="00AC3F90" w:rsidRPr="00A213B9" w:rsidRDefault="00AC3F90" w:rsidP="00AC3F90">
            <w:pPr>
              <w:ind w:firstLine="708"/>
              <w:jc w:val="both"/>
              <w:rPr>
                <w:i/>
                <w:sz w:val="24"/>
                <w:lang w:val="ky-KG"/>
              </w:rPr>
            </w:pPr>
            <w:r w:rsidRPr="00A213B9">
              <w:rPr>
                <w:sz w:val="24"/>
                <w:lang w:val="ky-KG"/>
              </w:rPr>
              <w:t xml:space="preserve"> </w:t>
            </w:r>
          </w:p>
        </w:tc>
        <w:tc>
          <w:tcPr>
            <w:tcW w:w="4820" w:type="dxa"/>
          </w:tcPr>
          <w:p w14:paraId="008D3E51" w14:textId="32859666" w:rsidR="00AC3F90" w:rsidRPr="00A213B9" w:rsidRDefault="00AC3F90" w:rsidP="00AC3F90">
            <w:pPr>
              <w:jc w:val="both"/>
              <w:rPr>
                <w:i/>
                <w:sz w:val="24"/>
              </w:rPr>
            </w:pPr>
            <w:r w:rsidRPr="00A213B9">
              <w:rPr>
                <w:i/>
                <w:sz w:val="24"/>
                <w:lang w:val="ky-KG"/>
              </w:rPr>
              <w:t xml:space="preserve">      </w:t>
            </w:r>
            <w:r w:rsidRPr="00A213B9">
              <w:rPr>
                <w:i/>
                <w:sz w:val="24"/>
              </w:rPr>
              <w:t xml:space="preserve">Внешнеторговый оборот организаций, предприятий, крестьянских хозяйств, физических лиц </w:t>
            </w:r>
            <w:r w:rsidRPr="00A213B9">
              <w:rPr>
                <w:i/>
                <w:sz w:val="24"/>
                <w:lang w:val="ky-KG"/>
              </w:rPr>
              <w:t xml:space="preserve">Джалал-Абадской </w:t>
            </w:r>
            <w:r w:rsidRPr="00A213B9">
              <w:rPr>
                <w:i/>
                <w:sz w:val="24"/>
              </w:rPr>
              <w:t>области со странами дальнего и ближнего зарубежья по данным грузовых таможенных деклараций и с государствами –членами ЕАЭС по данным государственной статистической отчетности взаимная торговля в 20</w:t>
            </w:r>
            <w:r w:rsidRPr="00A213B9">
              <w:rPr>
                <w:i/>
                <w:sz w:val="24"/>
                <w:lang w:val="ky-KG"/>
              </w:rPr>
              <w:t>2</w:t>
            </w:r>
            <w:r w:rsidR="00A213B9" w:rsidRPr="00A213B9">
              <w:rPr>
                <w:i/>
                <w:sz w:val="24"/>
                <w:lang w:val="ky-KG"/>
              </w:rPr>
              <w:t>4</w:t>
            </w:r>
            <w:r w:rsidRPr="00A213B9">
              <w:rPr>
                <w:i/>
                <w:sz w:val="24"/>
                <w:lang w:val="ky-KG"/>
              </w:rPr>
              <w:t xml:space="preserve"> </w:t>
            </w:r>
            <w:r w:rsidRPr="00A213B9">
              <w:rPr>
                <w:i/>
                <w:sz w:val="24"/>
              </w:rPr>
              <w:t>году составил</w:t>
            </w:r>
            <w:r w:rsidRPr="00A213B9">
              <w:rPr>
                <w:b/>
                <w:i/>
                <w:sz w:val="24"/>
              </w:rPr>
              <w:t xml:space="preserve"> </w:t>
            </w:r>
            <w:r w:rsidR="00A213B9" w:rsidRPr="00A213B9">
              <w:rPr>
                <w:bCs/>
                <w:iCs/>
                <w:sz w:val="24"/>
                <w:lang w:val="ky-KG"/>
              </w:rPr>
              <w:t xml:space="preserve">502,8 </w:t>
            </w:r>
            <w:r w:rsidRPr="00A213B9">
              <w:rPr>
                <w:i/>
                <w:sz w:val="24"/>
              </w:rPr>
              <w:t xml:space="preserve">млн. долларов США (без учета неорганизованной торговли). </w:t>
            </w:r>
          </w:p>
        </w:tc>
      </w:tr>
    </w:tbl>
    <w:p w14:paraId="1990E802" w14:textId="77777777" w:rsidR="00932AD3" w:rsidRPr="00DC123A" w:rsidRDefault="00932AD3">
      <w:pPr>
        <w:ind w:firstLine="708"/>
        <w:jc w:val="both"/>
        <w:rPr>
          <w:color w:val="FF0000"/>
          <w:sz w:val="24"/>
          <w:highlight w:val="yellow"/>
        </w:rPr>
      </w:pPr>
    </w:p>
    <w:tbl>
      <w:tblPr>
        <w:tblW w:w="9497" w:type="dxa"/>
        <w:tblInd w:w="250" w:type="dxa"/>
        <w:tblLook w:val="04A0" w:firstRow="1" w:lastRow="0" w:firstColumn="1" w:lastColumn="0" w:noHBand="0" w:noVBand="1"/>
      </w:tblPr>
      <w:tblGrid>
        <w:gridCol w:w="4677"/>
        <w:gridCol w:w="4820"/>
      </w:tblGrid>
      <w:tr w:rsidR="00C44EE6" w:rsidRPr="00C44EE6" w14:paraId="419C72DE" w14:textId="77777777" w:rsidTr="0015752D">
        <w:tc>
          <w:tcPr>
            <w:tcW w:w="4677" w:type="dxa"/>
          </w:tcPr>
          <w:p w14:paraId="67215F34" w14:textId="77777777" w:rsidR="00932AD3" w:rsidRPr="00C44EE6" w:rsidRDefault="00DD0312" w:rsidP="00DD0312">
            <w:pPr>
              <w:pStyle w:val="1"/>
              <w:ind w:left="720"/>
              <w:jc w:val="left"/>
              <w:rPr>
                <w:sz w:val="24"/>
              </w:rPr>
            </w:pPr>
            <w:r w:rsidRPr="00C44EE6">
              <w:rPr>
                <w:b/>
                <w:sz w:val="32"/>
              </w:rPr>
              <w:t xml:space="preserve">2. </w:t>
            </w:r>
            <w:proofErr w:type="gramStart"/>
            <w:r w:rsidR="00932AD3" w:rsidRPr="00C44EE6">
              <w:rPr>
                <w:b/>
                <w:sz w:val="32"/>
              </w:rPr>
              <w:t>Сектор</w:t>
            </w:r>
            <w:r w:rsidR="00445DCE" w:rsidRPr="00C44EE6">
              <w:rPr>
                <w:b/>
                <w:sz w:val="32"/>
                <w:lang w:val="ky-KG"/>
              </w:rPr>
              <w:t>дук  мүнөздөмө</w:t>
            </w:r>
            <w:proofErr w:type="gramEnd"/>
          </w:p>
        </w:tc>
        <w:tc>
          <w:tcPr>
            <w:tcW w:w="4820" w:type="dxa"/>
          </w:tcPr>
          <w:p w14:paraId="064E3CDD" w14:textId="77777777" w:rsidR="00932AD3" w:rsidRPr="00C44EE6" w:rsidRDefault="00DD0312" w:rsidP="00932AD3">
            <w:pPr>
              <w:pStyle w:val="1"/>
              <w:ind w:left="1440"/>
              <w:jc w:val="left"/>
              <w:rPr>
                <w:b/>
                <w:i/>
                <w:sz w:val="32"/>
              </w:rPr>
            </w:pPr>
            <w:r w:rsidRPr="00C44EE6">
              <w:rPr>
                <w:b/>
                <w:i/>
                <w:sz w:val="32"/>
              </w:rPr>
              <w:t>2.</w:t>
            </w:r>
            <w:r w:rsidR="001977DF" w:rsidRPr="00C44EE6">
              <w:rPr>
                <w:b/>
                <w:i/>
                <w:sz w:val="32"/>
                <w:lang w:val="ky-KG"/>
              </w:rPr>
              <w:t xml:space="preserve"> </w:t>
            </w:r>
            <w:r w:rsidR="00932AD3" w:rsidRPr="00C44EE6">
              <w:rPr>
                <w:b/>
                <w:i/>
                <w:sz w:val="32"/>
              </w:rPr>
              <w:t>Секторный обзор</w:t>
            </w:r>
          </w:p>
          <w:p w14:paraId="02819E24" w14:textId="77777777" w:rsidR="00932AD3" w:rsidRPr="00C44EE6" w:rsidRDefault="00932AD3" w:rsidP="0075517F">
            <w:pPr>
              <w:ind w:firstLine="709"/>
              <w:jc w:val="both"/>
              <w:rPr>
                <w:i/>
                <w:sz w:val="24"/>
              </w:rPr>
            </w:pPr>
          </w:p>
        </w:tc>
      </w:tr>
      <w:tr w:rsidR="00C44EE6" w:rsidRPr="00C44EE6" w14:paraId="59163D0A" w14:textId="77777777" w:rsidTr="00C067BF">
        <w:tc>
          <w:tcPr>
            <w:tcW w:w="4677" w:type="dxa"/>
          </w:tcPr>
          <w:p w14:paraId="29EF7370" w14:textId="77777777" w:rsidR="0095463E" w:rsidRPr="00C44EE6" w:rsidRDefault="0095463E" w:rsidP="00C067BF">
            <w:pPr>
              <w:pStyle w:val="1"/>
              <w:jc w:val="left"/>
              <w:rPr>
                <w:b/>
                <w:sz w:val="32"/>
              </w:rPr>
            </w:pPr>
            <w:r w:rsidRPr="00C44EE6">
              <w:rPr>
                <w:b/>
                <w:sz w:val="32"/>
                <w:lang w:val="ky-KG"/>
              </w:rPr>
              <w:t xml:space="preserve">      Реалд</w:t>
            </w:r>
            <w:proofErr w:type="spellStart"/>
            <w:r w:rsidRPr="00C44EE6">
              <w:rPr>
                <w:b/>
                <w:sz w:val="32"/>
              </w:rPr>
              <w:t>уу</w:t>
            </w:r>
            <w:proofErr w:type="spellEnd"/>
            <w:r w:rsidRPr="00C44EE6">
              <w:rPr>
                <w:b/>
                <w:sz w:val="32"/>
              </w:rPr>
              <w:t xml:space="preserve"> сектор</w:t>
            </w:r>
          </w:p>
        </w:tc>
        <w:tc>
          <w:tcPr>
            <w:tcW w:w="4820" w:type="dxa"/>
          </w:tcPr>
          <w:p w14:paraId="622C506C" w14:textId="77777777" w:rsidR="0095463E" w:rsidRPr="00C44EE6" w:rsidRDefault="0095463E" w:rsidP="00C067BF">
            <w:pPr>
              <w:pStyle w:val="2"/>
              <w:jc w:val="left"/>
              <w:rPr>
                <w:b w:val="0"/>
                <w:i/>
              </w:rPr>
            </w:pPr>
            <w:r w:rsidRPr="00C44EE6">
              <w:rPr>
                <w:i/>
                <w:lang w:val="ky-KG"/>
              </w:rPr>
              <w:t xml:space="preserve">      </w:t>
            </w:r>
            <w:r w:rsidRPr="00C44EE6">
              <w:rPr>
                <w:i/>
              </w:rPr>
              <w:t>Реальный сектор</w:t>
            </w:r>
          </w:p>
        </w:tc>
      </w:tr>
      <w:tr w:rsidR="00C44EE6" w:rsidRPr="00C44EE6" w14:paraId="14F1F24D" w14:textId="77777777" w:rsidTr="00C067BF">
        <w:tc>
          <w:tcPr>
            <w:tcW w:w="4677" w:type="dxa"/>
          </w:tcPr>
          <w:p w14:paraId="4530817F" w14:textId="3D80DDEF" w:rsidR="00C70988" w:rsidRPr="00C44EE6" w:rsidRDefault="00C70988" w:rsidP="00C70988">
            <w:pPr>
              <w:ind w:firstLine="708"/>
              <w:jc w:val="both"/>
              <w:rPr>
                <w:b/>
                <w:i/>
                <w:sz w:val="24"/>
                <w:szCs w:val="24"/>
                <w:lang w:val="ky-KG"/>
              </w:rPr>
            </w:pPr>
            <w:r w:rsidRPr="00C44EE6">
              <w:rPr>
                <w:b/>
                <w:sz w:val="24"/>
                <w:szCs w:val="24"/>
                <w:lang w:val="ky-KG"/>
              </w:rPr>
              <w:t xml:space="preserve">Өнөр жай. </w:t>
            </w:r>
            <w:r w:rsidRPr="00C44EE6">
              <w:rPr>
                <w:sz w:val="24"/>
                <w:szCs w:val="24"/>
              </w:rPr>
              <w:t>20</w:t>
            </w:r>
            <w:r w:rsidRPr="00C44EE6">
              <w:rPr>
                <w:sz w:val="24"/>
                <w:szCs w:val="24"/>
                <w:lang w:val="ky-KG"/>
              </w:rPr>
              <w:t>24</w:t>
            </w:r>
            <w:r w:rsidRPr="00C44EE6">
              <w:rPr>
                <w:sz w:val="24"/>
                <w:szCs w:val="24"/>
              </w:rPr>
              <w:t>-</w:t>
            </w:r>
            <w:proofErr w:type="spellStart"/>
            <w:r w:rsidRPr="00C44EE6">
              <w:rPr>
                <w:sz w:val="24"/>
                <w:szCs w:val="24"/>
              </w:rPr>
              <w:t>жылы</w:t>
            </w:r>
            <w:proofErr w:type="spellEnd"/>
            <w:r w:rsidRPr="00C44EE6">
              <w:rPr>
                <w:sz w:val="24"/>
                <w:szCs w:val="24"/>
                <w:lang w:val="ky-KG"/>
              </w:rPr>
              <w:t xml:space="preserve"> </w:t>
            </w:r>
            <w:proofErr w:type="spellStart"/>
            <w:r w:rsidRPr="00C44EE6">
              <w:rPr>
                <w:sz w:val="24"/>
                <w:szCs w:val="24"/>
              </w:rPr>
              <w:t>өнөр</w:t>
            </w:r>
            <w:proofErr w:type="spellEnd"/>
            <w:r w:rsidRPr="00C44EE6">
              <w:rPr>
                <w:sz w:val="24"/>
                <w:szCs w:val="24"/>
                <w:lang w:val="ky-KG"/>
              </w:rPr>
              <w:t>-</w:t>
            </w:r>
            <w:proofErr w:type="spellStart"/>
            <w:r w:rsidRPr="00C44EE6">
              <w:rPr>
                <w:sz w:val="24"/>
                <w:szCs w:val="24"/>
              </w:rPr>
              <w:t>жай</w:t>
            </w:r>
            <w:proofErr w:type="spellEnd"/>
            <w:r w:rsidRPr="00C44EE6">
              <w:rPr>
                <w:sz w:val="24"/>
                <w:szCs w:val="24"/>
                <w:lang w:val="ky-KG"/>
              </w:rPr>
              <w:t xml:space="preserve"> </w:t>
            </w:r>
            <w:proofErr w:type="spellStart"/>
            <w:r w:rsidRPr="00C44EE6">
              <w:rPr>
                <w:sz w:val="24"/>
                <w:szCs w:val="24"/>
              </w:rPr>
              <w:t>ишканалары</w:t>
            </w:r>
            <w:proofErr w:type="spellEnd"/>
            <w:r w:rsidRPr="00C44EE6">
              <w:rPr>
                <w:sz w:val="24"/>
                <w:szCs w:val="24"/>
                <w:lang w:val="ky-KG"/>
              </w:rPr>
              <w:t xml:space="preserve"> </w:t>
            </w:r>
            <w:proofErr w:type="spellStart"/>
            <w:proofErr w:type="gramStart"/>
            <w:r w:rsidRPr="00C44EE6">
              <w:rPr>
                <w:sz w:val="24"/>
                <w:szCs w:val="24"/>
              </w:rPr>
              <w:t>тарабынан</w:t>
            </w:r>
            <w:proofErr w:type="spellEnd"/>
            <w:r w:rsidRPr="00C44EE6">
              <w:rPr>
                <w:sz w:val="24"/>
                <w:szCs w:val="24"/>
              </w:rPr>
              <w:t xml:space="preserve">  </w:t>
            </w:r>
            <w:r w:rsidRPr="00C44EE6">
              <w:rPr>
                <w:sz w:val="24"/>
                <w:szCs w:val="24"/>
                <w:lang w:val="ky-KG"/>
              </w:rPr>
              <w:t>(</w:t>
            </w:r>
            <w:proofErr w:type="spellStart"/>
            <w:proofErr w:type="gramEnd"/>
            <w:r w:rsidRPr="00C44EE6">
              <w:rPr>
                <w:sz w:val="24"/>
                <w:szCs w:val="24"/>
              </w:rPr>
              <w:t>анын</w:t>
            </w:r>
            <w:proofErr w:type="spellEnd"/>
            <w:r w:rsidRPr="00C44EE6">
              <w:rPr>
                <w:sz w:val="24"/>
                <w:szCs w:val="24"/>
                <w:lang w:val="ky-KG"/>
              </w:rPr>
              <w:t xml:space="preserve"> </w:t>
            </w:r>
            <w:proofErr w:type="spellStart"/>
            <w:r w:rsidRPr="00C44EE6">
              <w:rPr>
                <w:sz w:val="24"/>
                <w:szCs w:val="24"/>
              </w:rPr>
              <w:t>ичинде</w:t>
            </w:r>
            <w:proofErr w:type="spellEnd"/>
            <w:r w:rsidRPr="00C44EE6">
              <w:rPr>
                <w:sz w:val="24"/>
                <w:szCs w:val="24"/>
                <w:lang w:val="ky-KG"/>
              </w:rPr>
              <w:t xml:space="preserve"> </w:t>
            </w:r>
            <w:proofErr w:type="gramStart"/>
            <w:r w:rsidRPr="00C44EE6">
              <w:rPr>
                <w:sz w:val="24"/>
                <w:szCs w:val="24"/>
              </w:rPr>
              <w:t>чакан</w:t>
            </w:r>
            <w:r w:rsidRPr="00C44EE6">
              <w:rPr>
                <w:sz w:val="24"/>
                <w:szCs w:val="24"/>
                <w:lang w:val="ky-KG"/>
              </w:rPr>
              <w:t xml:space="preserve">  </w:t>
            </w:r>
            <w:proofErr w:type="spellStart"/>
            <w:r w:rsidRPr="00C44EE6">
              <w:rPr>
                <w:sz w:val="24"/>
                <w:szCs w:val="24"/>
              </w:rPr>
              <w:t>ишканалар</w:t>
            </w:r>
            <w:proofErr w:type="spellEnd"/>
            <w:proofErr w:type="gramEnd"/>
            <w:r w:rsidRPr="00C44EE6">
              <w:rPr>
                <w:sz w:val="24"/>
                <w:szCs w:val="24"/>
                <w:lang w:val="ky-KG"/>
              </w:rPr>
              <w:t xml:space="preserve"> </w:t>
            </w:r>
            <w:proofErr w:type="spellStart"/>
            <w:r w:rsidRPr="00C44EE6">
              <w:rPr>
                <w:sz w:val="24"/>
                <w:szCs w:val="24"/>
              </w:rPr>
              <w:t>жана</w:t>
            </w:r>
            <w:proofErr w:type="spellEnd"/>
            <w:r w:rsidRPr="00C44EE6">
              <w:rPr>
                <w:sz w:val="24"/>
                <w:szCs w:val="24"/>
                <w:lang w:val="ky-KG"/>
              </w:rPr>
              <w:t xml:space="preserve"> </w:t>
            </w:r>
            <w:proofErr w:type="spellStart"/>
            <w:r w:rsidRPr="00C44EE6">
              <w:rPr>
                <w:sz w:val="24"/>
                <w:szCs w:val="24"/>
              </w:rPr>
              <w:t>өнөр</w:t>
            </w:r>
            <w:proofErr w:type="spellEnd"/>
            <w:r w:rsidRPr="00C44EE6">
              <w:rPr>
                <w:sz w:val="24"/>
                <w:szCs w:val="24"/>
                <w:lang w:val="ky-KG"/>
              </w:rPr>
              <w:t>-</w:t>
            </w:r>
            <w:proofErr w:type="spellStart"/>
            <w:r w:rsidRPr="00C44EE6">
              <w:rPr>
                <w:sz w:val="24"/>
                <w:szCs w:val="24"/>
              </w:rPr>
              <w:t>жай</w:t>
            </w:r>
            <w:proofErr w:type="spellEnd"/>
            <w:r w:rsidRPr="00C44EE6">
              <w:rPr>
                <w:sz w:val="24"/>
                <w:szCs w:val="24"/>
                <w:lang w:val="ky-KG"/>
              </w:rPr>
              <w:t xml:space="preserve"> </w:t>
            </w:r>
            <w:proofErr w:type="spellStart"/>
            <w:r w:rsidRPr="00C44EE6">
              <w:rPr>
                <w:sz w:val="24"/>
                <w:szCs w:val="24"/>
              </w:rPr>
              <w:t>менен</w:t>
            </w:r>
            <w:proofErr w:type="spellEnd"/>
            <w:r w:rsidRPr="00C44EE6">
              <w:rPr>
                <w:sz w:val="24"/>
                <w:szCs w:val="24"/>
                <w:lang w:val="ky-KG"/>
              </w:rPr>
              <w:t xml:space="preserve"> </w:t>
            </w:r>
            <w:proofErr w:type="spellStart"/>
            <w:r w:rsidRPr="00C44EE6">
              <w:rPr>
                <w:sz w:val="24"/>
                <w:szCs w:val="24"/>
              </w:rPr>
              <w:t>алектенген</w:t>
            </w:r>
            <w:proofErr w:type="spellEnd"/>
            <w:r w:rsidRPr="00C44EE6">
              <w:rPr>
                <w:sz w:val="24"/>
                <w:szCs w:val="24"/>
                <w:lang w:val="ky-KG"/>
              </w:rPr>
              <w:t xml:space="preserve"> </w:t>
            </w:r>
            <w:proofErr w:type="spellStart"/>
            <w:r w:rsidRPr="00C44EE6">
              <w:rPr>
                <w:sz w:val="24"/>
                <w:szCs w:val="24"/>
              </w:rPr>
              <w:t>жеке</w:t>
            </w:r>
            <w:proofErr w:type="spellEnd"/>
            <w:r w:rsidRPr="00C44EE6">
              <w:rPr>
                <w:sz w:val="24"/>
                <w:szCs w:val="24"/>
                <w:lang w:val="ky-KG"/>
              </w:rPr>
              <w:t xml:space="preserve"> </w:t>
            </w:r>
            <w:proofErr w:type="spellStart"/>
            <w:r w:rsidRPr="00C44EE6">
              <w:rPr>
                <w:sz w:val="24"/>
                <w:szCs w:val="24"/>
              </w:rPr>
              <w:t>ишкер</w:t>
            </w:r>
            <w:proofErr w:type="spellEnd"/>
            <w:r w:rsidRPr="00C44EE6">
              <w:rPr>
                <w:sz w:val="24"/>
                <w:szCs w:val="24"/>
                <w:lang w:val="ky-KG"/>
              </w:rPr>
              <w:t xml:space="preserve">лер) 58354,1 сомго продукция өндүрүлдү, физикалык көлөмдүн </w:t>
            </w:r>
            <w:proofErr w:type="gramStart"/>
            <w:r w:rsidRPr="00C44EE6">
              <w:rPr>
                <w:sz w:val="24"/>
                <w:szCs w:val="24"/>
                <w:lang w:val="ky-KG"/>
              </w:rPr>
              <w:t>индекси  салыштырмалуу</w:t>
            </w:r>
            <w:proofErr w:type="gramEnd"/>
            <w:r w:rsidRPr="00C44EE6">
              <w:rPr>
                <w:sz w:val="24"/>
                <w:szCs w:val="24"/>
                <w:lang w:val="ky-KG"/>
              </w:rPr>
              <w:t xml:space="preserve">  112,4 пайызды түздү.</w:t>
            </w:r>
          </w:p>
        </w:tc>
        <w:tc>
          <w:tcPr>
            <w:tcW w:w="4820" w:type="dxa"/>
          </w:tcPr>
          <w:p w14:paraId="70E4CF4F" w14:textId="13E6E09B" w:rsidR="00C70988" w:rsidRPr="00C44EE6" w:rsidRDefault="00C70988" w:rsidP="00C70988">
            <w:pPr>
              <w:ind w:firstLine="708"/>
              <w:jc w:val="both"/>
              <w:rPr>
                <w:b/>
                <w:i/>
                <w:sz w:val="24"/>
                <w:szCs w:val="24"/>
              </w:rPr>
            </w:pPr>
            <w:r w:rsidRPr="00C44EE6">
              <w:rPr>
                <w:b/>
                <w:i/>
                <w:sz w:val="24"/>
                <w:szCs w:val="24"/>
              </w:rPr>
              <w:t>Промышленность.</w:t>
            </w:r>
            <w:r w:rsidRPr="00C44EE6">
              <w:rPr>
                <w:i/>
                <w:sz w:val="24"/>
                <w:szCs w:val="24"/>
              </w:rPr>
              <w:t xml:space="preserve"> В 20</w:t>
            </w:r>
            <w:r w:rsidRPr="00C44EE6">
              <w:rPr>
                <w:i/>
                <w:sz w:val="24"/>
                <w:szCs w:val="24"/>
                <w:lang w:val="ky-KG"/>
              </w:rPr>
              <w:t>24</w:t>
            </w:r>
            <w:r w:rsidRPr="00C44EE6">
              <w:rPr>
                <w:i/>
                <w:sz w:val="24"/>
                <w:szCs w:val="24"/>
              </w:rPr>
              <w:t xml:space="preserve"> году промышленными предприятиями области (включая малые</w:t>
            </w:r>
            <w:r w:rsidRPr="00C44EE6">
              <w:rPr>
                <w:i/>
                <w:sz w:val="24"/>
                <w:szCs w:val="24"/>
                <w:lang w:val="ky-KG"/>
              </w:rPr>
              <w:t xml:space="preserve"> </w:t>
            </w:r>
            <w:r w:rsidRPr="00C44EE6">
              <w:rPr>
                <w:i/>
                <w:sz w:val="24"/>
                <w:szCs w:val="24"/>
              </w:rPr>
              <w:t xml:space="preserve">и промышленную деятельность индивидуальных предпринимателей) произведено продукции на сумму </w:t>
            </w:r>
            <w:r w:rsidRPr="00C44EE6">
              <w:rPr>
                <w:i/>
                <w:sz w:val="24"/>
                <w:szCs w:val="24"/>
                <w:lang w:val="ky-KG"/>
              </w:rPr>
              <w:t>58354,1</w:t>
            </w:r>
            <w:r w:rsidRPr="00C44EE6">
              <w:rPr>
                <w:i/>
                <w:sz w:val="24"/>
                <w:szCs w:val="24"/>
              </w:rPr>
              <w:t xml:space="preserve"> млн. сомов, индекс физического объема к </w:t>
            </w:r>
            <w:proofErr w:type="gramStart"/>
            <w:r w:rsidRPr="00C44EE6">
              <w:rPr>
                <w:i/>
                <w:sz w:val="24"/>
                <w:szCs w:val="24"/>
              </w:rPr>
              <w:t>уровню  составил</w:t>
            </w:r>
            <w:proofErr w:type="gramEnd"/>
            <w:r w:rsidRPr="00C44EE6">
              <w:rPr>
                <w:i/>
                <w:sz w:val="24"/>
                <w:szCs w:val="24"/>
              </w:rPr>
              <w:t xml:space="preserve"> </w:t>
            </w:r>
            <w:r w:rsidRPr="00C44EE6">
              <w:rPr>
                <w:i/>
                <w:sz w:val="24"/>
                <w:szCs w:val="24"/>
                <w:lang w:val="ky-KG"/>
              </w:rPr>
              <w:t>112,4</w:t>
            </w:r>
            <w:r w:rsidRPr="00C44EE6">
              <w:rPr>
                <w:i/>
                <w:sz w:val="24"/>
                <w:szCs w:val="24"/>
              </w:rPr>
              <w:t xml:space="preserve"> процента</w:t>
            </w:r>
          </w:p>
        </w:tc>
      </w:tr>
      <w:tr w:rsidR="00C44EE6" w:rsidRPr="00C44EE6" w14:paraId="4C61540E" w14:textId="77777777" w:rsidTr="00C067BF">
        <w:tc>
          <w:tcPr>
            <w:tcW w:w="4677" w:type="dxa"/>
          </w:tcPr>
          <w:p w14:paraId="20E93D54" w14:textId="077D3A61" w:rsidR="00C70988" w:rsidRPr="00C44EE6" w:rsidRDefault="00C70988" w:rsidP="00C70988">
            <w:pPr>
              <w:ind w:firstLine="708"/>
              <w:jc w:val="both"/>
              <w:rPr>
                <w:sz w:val="24"/>
                <w:szCs w:val="24"/>
                <w:lang w:val="ky-KG"/>
              </w:rPr>
            </w:pPr>
            <w:r w:rsidRPr="00C44EE6">
              <w:rPr>
                <w:sz w:val="24"/>
                <w:szCs w:val="24"/>
                <w:lang w:val="ky-KG"/>
              </w:rPr>
              <w:t xml:space="preserve">Өнөр жай өндүрүштүк структурасында  2024-жылы  тоо кен казуу өнөр жайы – 53,4 пайызды, иштетүү өнөр жайы – 24,0, </w:t>
            </w:r>
            <w:r w:rsidRPr="00C44EE6">
              <w:rPr>
                <w:rFonts w:ascii="Kyrghyz Times" w:hAnsi="Kyrghyz Times"/>
                <w:sz w:val="24"/>
                <w:szCs w:val="24"/>
                <w:lang w:val="ky-KG"/>
              </w:rPr>
              <w:t>э</w:t>
            </w:r>
            <w:proofErr w:type="spellStart"/>
            <w:r w:rsidRPr="00C44EE6">
              <w:rPr>
                <w:rFonts w:ascii="Kyrghyz Times" w:hAnsi="Kyrghyz Times"/>
                <w:sz w:val="24"/>
                <w:szCs w:val="24"/>
              </w:rPr>
              <w:t>лектр</w:t>
            </w:r>
            <w:proofErr w:type="spellEnd"/>
            <w:r w:rsidRPr="00C44EE6">
              <w:rPr>
                <w:rFonts w:ascii="Kyrghyz Times" w:hAnsi="Kyrghyz Times"/>
                <w:sz w:val="24"/>
                <w:szCs w:val="24"/>
              </w:rPr>
              <w:t xml:space="preserve"> энергия, газ, буу </w:t>
            </w:r>
            <w:proofErr w:type="spellStart"/>
            <w:r w:rsidRPr="00C44EE6">
              <w:rPr>
                <w:rFonts w:ascii="Kyrghyz Times" w:hAnsi="Kyrghyz Times"/>
                <w:sz w:val="24"/>
                <w:szCs w:val="24"/>
              </w:rPr>
              <w:t>жана</w:t>
            </w:r>
            <w:proofErr w:type="spellEnd"/>
            <w:r w:rsidRPr="00C44EE6">
              <w:rPr>
                <w:rFonts w:ascii="Kyrghyz Times" w:hAnsi="Kyrghyz Times"/>
                <w:sz w:val="24"/>
                <w:szCs w:val="24"/>
              </w:rPr>
              <w:t xml:space="preserve"> </w:t>
            </w:r>
            <w:proofErr w:type="spellStart"/>
            <w:r w:rsidRPr="00C44EE6">
              <w:rPr>
                <w:rFonts w:ascii="Kyrghyz Times" w:hAnsi="Kyrghyz Times"/>
                <w:sz w:val="24"/>
                <w:szCs w:val="24"/>
              </w:rPr>
              <w:t>кондицияланган</w:t>
            </w:r>
            <w:proofErr w:type="spellEnd"/>
            <w:r w:rsidRPr="00C44EE6">
              <w:rPr>
                <w:rFonts w:ascii="Kyrghyz Times" w:hAnsi="Kyrghyz Times"/>
                <w:sz w:val="24"/>
                <w:szCs w:val="24"/>
              </w:rPr>
              <w:t xml:space="preserve"> </w:t>
            </w:r>
            <w:proofErr w:type="spellStart"/>
            <w:r w:rsidRPr="00C44EE6">
              <w:rPr>
                <w:rFonts w:ascii="Kyrghyz Times" w:hAnsi="Kyrghyz Times"/>
                <w:sz w:val="24"/>
                <w:szCs w:val="24"/>
              </w:rPr>
              <w:t>аба</w:t>
            </w:r>
            <w:proofErr w:type="spellEnd"/>
            <w:r w:rsidRPr="00C44EE6">
              <w:rPr>
                <w:rFonts w:ascii="Kyrghyz Times" w:hAnsi="Kyrghyz Times"/>
                <w:sz w:val="24"/>
                <w:szCs w:val="24"/>
              </w:rPr>
              <w:t xml:space="preserve"> </w:t>
            </w:r>
            <w:r w:rsidRPr="00C44EE6">
              <w:rPr>
                <w:rFonts w:ascii="Kyrghyz Times" w:hAnsi="Kyrghyz Times"/>
                <w:sz w:val="24"/>
                <w:szCs w:val="24"/>
                <w:lang w:val="ky-KG"/>
              </w:rPr>
              <w:t xml:space="preserve">жабдуулары </w:t>
            </w:r>
            <w:proofErr w:type="spellStart"/>
            <w:r w:rsidRPr="00C44EE6">
              <w:rPr>
                <w:rFonts w:ascii="Kyrghyz Times" w:hAnsi="Kyrghyz Times"/>
                <w:sz w:val="24"/>
                <w:szCs w:val="24"/>
              </w:rPr>
              <w:t>менен</w:t>
            </w:r>
            <w:proofErr w:type="spellEnd"/>
            <w:r w:rsidRPr="00C44EE6">
              <w:rPr>
                <w:rFonts w:ascii="Kyrghyz Times" w:hAnsi="Kyrghyz Times"/>
                <w:sz w:val="24"/>
                <w:szCs w:val="24"/>
              </w:rPr>
              <w:t xml:space="preserve"> </w:t>
            </w:r>
            <w:proofErr w:type="spellStart"/>
            <w:r w:rsidRPr="00C44EE6">
              <w:rPr>
                <w:rFonts w:ascii="Kyrghyz Times" w:hAnsi="Kyrghyz Times"/>
                <w:sz w:val="24"/>
                <w:szCs w:val="24"/>
              </w:rPr>
              <w:t>камсыздоо</w:t>
            </w:r>
            <w:proofErr w:type="spellEnd"/>
            <w:r w:rsidRPr="00C44EE6">
              <w:rPr>
                <w:sz w:val="24"/>
                <w:szCs w:val="24"/>
                <w:lang w:val="ky-KG"/>
              </w:rPr>
              <w:t xml:space="preserve"> – 21,9 пайыз,</w:t>
            </w:r>
            <w:r w:rsidRPr="00C44EE6">
              <w:rPr>
                <w:rFonts w:ascii="Kyrghyz Times" w:hAnsi="Kyrghyz Times"/>
                <w:bCs/>
                <w:sz w:val="24"/>
                <w:szCs w:val="24"/>
              </w:rPr>
              <w:t xml:space="preserve"> </w:t>
            </w:r>
            <w:r w:rsidRPr="00C44EE6">
              <w:rPr>
                <w:rFonts w:ascii="Kyrghyz Times" w:hAnsi="Kyrghyz Times"/>
                <w:bCs/>
                <w:sz w:val="24"/>
                <w:szCs w:val="24"/>
                <w:lang w:val="ky-KG"/>
              </w:rPr>
              <w:t>с</w:t>
            </w:r>
            <w:proofErr w:type="spellStart"/>
            <w:r w:rsidRPr="00C44EE6">
              <w:rPr>
                <w:rFonts w:ascii="Kyrghyz Times" w:hAnsi="Kyrghyz Times"/>
                <w:bCs/>
                <w:sz w:val="24"/>
                <w:szCs w:val="24"/>
              </w:rPr>
              <w:t>уу</w:t>
            </w:r>
            <w:proofErr w:type="spellEnd"/>
            <w:r w:rsidRPr="00C44EE6">
              <w:rPr>
                <w:rFonts w:ascii="Kyrghyz Times" w:hAnsi="Kyrghyz Times"/>
                <w:bCs/>
                <w:sz w:val="24"/>
                <w:szCs w:val="24"/>
              </w:rPr>
              <w:t xml:space="preserve"> </w:t>
            </w:r>
            <w:proofErr w:type="spellStart"/>
            <w:r w:rsidRPr="00C44EE6">
              <w:rPr>
                <w:rFonts w:ascii="Kyrghyz Times" w:hAnsi="Kyrghyz Times"/>
                <w:bCs/>
                <w:sz w:val="24"/>
                <w:szCs w:val="24"/>
              </w:rPr>
              <w:t>менен</w:t>
            </w:r>
            <w:proofErr w:type="spellEnd"/>
            <w:r w:rsidRPr="00C44EE6">
              <w:rPr>
                <w:rFonts w:ascii="Kyrghyz Times" w:hAnsi="Kyrghyz Times"/>
                <w:bCs/>
                <w:sz w:val="24"/>
                <w:szCs w:val="24"/>
              </w:rPr>
              <w:t xml:space="preserve"> </w:t>
            </w:r>
            <w:proofErr w:type="spellStart"/>
            <w:r w:rsidRPr="00C44EE6">
              <w:rPr>
                <w:rFonts w:ascii="Kyrghyz Times" w:hAnsi="Kyrghyz Times"/>
                <w:bCs/>
                <w:sz w:val="24"/>
                <w:szCs w:val="24"/>
              </w:rPr>
              <w:t>жабдуу</w:t>
            </w:r>
            <w:proofErr w:type="spellEnd"/>
            <w:r w:rsidRPr="00C44EE6">
              <w:rPr>
                <w:rFonts w:ascii="Kyrghyz Times" w:hAnsi="Kyrghyz Times"/>
                <w:bCs/>
                <w:sz w:val="24"/>
                <w:szCs w:val="24"/>
              </w:rPr>
              <w:t xml:space="preserve">, </w:t>
            </w:r>
            <w:proofErr w:type="spellStart"/>
            <w:r w:rsidRPr="00C44EE6">
              <w:rPr>
                <w:rFonts w:ascii="Kyrghyz Times" w:hAnsi="Kyrghyz Times"/>
                <w:bCs/>
                <w:sz w:val="24"/>
                <w:szCs w:val="24"/>
              </w:rPr>
              <w:t>тазалоо</w:t>
            </w:r>
            <w:proofErr w:type="spellEnd"/>
            <w:r w:rsidRPr="00C44EE6">
              <w:rPr>
                <w:rFonts w:ascii="Kyrghyz Times" w:hAnsi="Kyrghyz Times"/>
                <w:bCs/>
                <w:sz w:val="24"/>
                <w:szCs w:val="24"/>
              </w:rPr>
              <w:t xml:space="preserve">, </w:t>
            </w:r>
            <w:proofErr w:type="spellStart"/>
            <w:r w:rsidRPr="00C44EE6">
              <w:rPr>
                <w:rFonts w:ascii="Kyrghyz Times" w:hAnsi="Kyrghyz Times"/>
                <w:bCs/>
                <w:sz w:val="24"/>
                <w:szCs w:val="24"/>
              </w:rPr>
              <w:t>таштандыларды</w:t>
            </w:r>
            <w:proofErr w:type="spellEnd"/>
            <w:r w:rsidRPr="00C44EE6">
              <w:rPr>
                <w:rFonts w:ascii="Kyrghyz Times" w:hAnsi="Kyrghyz Times"/>
                <w:bCs/>
                <w:sz w:val="24"/>
                <w:szCs w:val="24"/>
              </w:rPr>
              <w:t xml:space="preserve"> </w:t>
            </w:r>
            <w:proofErr w:type="spellStart"/>
            <w:r w:rsidRPr="00C44EE6">
              <w:rPr>
                <w:rFonts w:ascii="Kyrghyz Times" w:hAnsi="Kyrghyz Times"/>
                <w:bCs/>
                <w:sz w:val="24"/>
                <w:szCs w:val="24"/>
              </w:rPr>
              <w:t>иштет</w:t>
            </w:r>
            <w:proofErr w:type="spellEnd"/>
            <w:r w:rsidRPr="00C44EE6">
              <w:rPr>
                <w:rFonts w:ascii="Kyrghyz Times" w:hAnsi="Kyrghyz Times"/>
                <w:bCs/>
                <w:sz w:val="24"/>
                <w:szCs w:val="24"/>
                <w:lang w:val="ky-KG"/>
              </w:rPr>
              <w:t>үү</w:t>
            </w:r>
            <w:r w:rsidRPr="00C44EE6">
              <w:rPr>
                <w:rFonts w:ascii="Kyrghyz Times" w:hAnsi="Kyrghyz Times"/>
                <w:bCs/>
                <w:sz w:val="24"/>
                <w:szCs w:val="24"/>
              </w:rPr>
              <w:t xml:space="preserve"> </w:t>
            </w:r>
            <w:proofErr w:type="spellStart"/>
            <w:r w:rsidRPr="00C44EE6">
              <w:rPr>
                <w:rFonts w:ascii="Kyrghyz Times" w:hAnsi="Kyrghyz Times"/>
                <w:bCs/>
                <w:sz w:val="24"/>
                <w:szCs w:val="24"/>
              </w:rPr>
              <w:t>жана</w:t>
            </w:r>
            <w:proofErr w:type="spellEnd"/>
            <w:r w:rsidRPr="00C44EE6">
              <w:rPr>
                <w:rFonts w:ascii="Kyrghyz Times" w:hAnsi="Kyrghyz Times"/>
                <w:bCs/>
                <w:sz w:val="24"/>
                <w:szCs w:val="24"/>
              </w:rPr>
              <w:t xml:space="preserve"> </w:t>
            </w:r>
            <w:proofErr w:type="spellStart"/>
            <w:r w:rsidRPr="00C44EE6">
              <w:rPr>
                <w:rFonts w:ascii="Kyrghyz Times" w:hAnsi="Kyrghyz Times"/>
                <w:bCs/>
                <w:sz w:val="24"/>
                <w:szCs w:val="24"/>
              </w:rPr>
              <w:t>экинчи</w:t>
            </w:r>
            <w:proofErr w:type="spellEnd"/>
            <w:r w:rsidRPr="00C44EE6">
              <w:rPr>
                <w:rFonts w:ascii="Kyrghyz Times" w:hAnsi="Kyrghyz Times"/>
                <w:bCs/>
                <w:sz w:val="24"/>
                <w:szCs w:val="24"/>
              </w:rPr>
              <w:t xml:space="preserve"> </w:t>
            </w:r>
            <w:proofErr w:type="spellStart"/>
            <w:r w:rsidRPr="00C44EE6">
              <w:rPr>
                <w:rFonts w:ascii="Kyrghyz Times" w:hAnsi="Kyrghyz Times"/>
                <w:bCs/>
                <w:sz w:val="24"/>
                <w:szCs w:val="24"/>
              </w:rPr>
              <w:t>ирет</w:t>
            </w:r>
            <w:proofErr w:type="spellEnd"/>
            <w:r w:rsidRPr="00C44EE6">
              <w:rPr>
                <w:rFonts w:ascii="Kyrghyz Times" w:hAnsi="Kyrghyz Times"/>
                <w:bCs/>
                <w:sz w:val="24"/>
                <w:szCs w:val="24"/>
              </w:rPr>
              <w:t xml:space="preserve"> </w:t>
            </w:r>
            <w:proofErr w:type="spellStart"/>
            <w:r w:rsidRPr="00C44EE6">
              <w:rPr>
                <w:rFonts w:ascii="Kyrghyz Times" w:hAnsi="Kyrghyz Times"/>
                <w:bCs/>
                <w:sz w:val="24"/>
                <w:szCs w:val="24"/>
              </w:rPr>
              <w:t>жасалган</w:t>
            </w:r>
            <w:proofErr w:type="spellEnd"/>
            <w:r w:rsidRPr="00C44EE6">
              <w:rPr>
                <w:rFonts w:ascii="Kyrghyz Times" w:hAnsi="Kyrghyz Times"/>
                <w:bCs/>
                <w:sz w:val="24"/>
                <w:szCs w:val="24"/>
              </w:rPr>
              <w:t xml:space="preserve"> </w:t>
            </w:r>
            <w:proofErr w:type="spellStart"/>
            <w:r w:rsidRPr="00C44EE6">
              <w:rPr>
                <w:rFonts w:ascii="Kyrghyz Times" w:hAnsi="Kyrghyz Times"/>
                <w:bCs/>
                <w:sz w:val="24"/>
                <w:szCs w:val="24"/>
              </w:rPr>
              <w:t>сырьену</w:t>
            </w:r>
            <w:proofErr w:type="spellEnd"/>
            <w:r w:rsidRPr="00C44EE6">
              <w:rPr>
                <w:rFonts w:ascii="Kyrghyz Times" w:hAnsi="Kyrghyz Times"/>
                <w:bCs/>
                <w:sz w:val="24"/>
                <w:szCs w:val="24"/>
              </w:rPr>
              <w:t xml:space="preserve"> </w:t>
            </w:r>
            <w:proofErr w:type="spellStart"/>
            <w:r w:rsidRPr="00C44EE6">
              <w:rPr>
                <w:rFonts w:ascii="Kyrghyz Times" w:hAnsi="Kyrghyz Times"/>
                <w:bCs/>
                <w:sz w:val="24"/>
                <w:szCs w:val="24"/>
              </w:rPr>
              <w:t>алуу</w:t>
            </w:r>
            <w:proofErr w:type="spellEnd"/>
            <w:r w:rsidRPr="00C44EE6">
              <w:rPr>
                <w:rFonts w:ascii="Kyrghyz Times" w:hAnsi="Kyrghyz Times"/>
                <w:bCs/>
                <w:sz w:val="24"/>
                <w:szCs w:val="24"/>
                <w:lang w:val="ky-KG"/>
              </w:rPr>
              <w:t>-0,7</w:t>
            </w:r>
            <w:r w:rsidRPr="00C44EE6">
              <w:rPr>
                <w:rFonts w:ascii="Kyrghyz Times" w:hAnsi="Kyrghyz Times"/>
                <w:bCs/>
                <w:sz w:val="24"/>
                <w:szCs w:val="24"/>
              </w:rPr>
              <w:t xml:space="preserve"> </w:t>
            </w:r>
            <w:r w:rsidRPr="00C44EE6">
              <w:rPr>
                <w:rFonts w:ascii="Kyrghyz Times" w:hAnsi="Kyrghyz Times"/>
                <w:bCs/>
                <w:sz w:val="24"/>
                <w:szCs w:val="24"/>
                <w:lang w:val="ky-KG"/>
              </w:rPr>
              <w:t>пайызды түзгөн.</w:t>
            </w:r>
          </w:p>
        </w:tc>
        <w:tc>
          <w:tcPr>
            <w:tcW w:w="4820" w:type="dxa"/>
          </w:tcPr>
          <w:p w14:paraId="1B434565" w14:textId="77777777" w:rsidR="00C70988" w:rsidRPr="00C44EE6" w:rsidRDefault="00C70988" w:rsidP="00C70988">
            <w:pPr>
              <w:ind w:firstLine="708"/>
              <w:jc w:val="both"/>
              <w:rPr>
                <w:rFonts w:ascii="Kyrghyz Times" w:hAnsi="Kyrghyz Times"/>
                <w:bCs/>
                <w:i/>
                <w:sz w:val="24"/>
                <w:szCs w:val="24"/>
                <w:lang w:val="ky-KG"/>
              </w:rPr>
            </w:pPr>
            <w:r w:rsidRPr="00C44EE6">
              <w:rPr>
                <w:i/>
                <w:sz w:val="24"/>
                <w:szCs w:val="24"/>
              </w:rPr>
              <w:t xml:space="preserve">В структуре промышленного производства доля продукции по добыче прочих полезных </w:t>
            </w:r>
            <w:proofErr w:type="gramStart"/>
            <w:r w:rsidRPr="00C44EE6">
              <w:rPr>
                <w:i/>
                <w:sz w:val="24"/>
                <w:szCs w:val="24"/>
              </w:rPr>
              <w:t>ископаемых  в</w:t>
            </w:r>
            <w:proofErr w:type="gramEnd"/>
            <w:r w:rsidRPr="00C44EE6">
              <w:rPr>
                <w:i/>
                <w:sz w:val="24"/>
                <w:szCs w:val="24"/>
              </w:rPr>
              <w:t xml:space="preserve"> 20</w:t>
            </w:r>
            <w:r w:rsidRPr="00C44EE6">
              <w:rPr>
                <w:i/>
                <w:sz w:val="24"/>
                <w:szCs w:val="24"/>
                <w:lang w:val="ky-KG"/>
              </w:rPr>
              <w:t xml:space="preserve">24 </w:t>
            </w:r>
            <w:r w:rsidRPr="00C44EE6">
              <w:rPr>
                <w:i/>
                <w:sz w:val="24"/>
                <w:szCs w:val="24"/>
              </w:rPr>
              <w:t>году состав</w:t>
            </w:r>
            <w:r w:rsidRPr="00C44EE6">
              <w:rPr>
                <w:i/>
                <w:sz w:val="24"/>
                <w:szCs w:val="24"/>
                <w:lang w:val="ky-KG"/>
              </w:rPr>
              <w:t>и</w:t>
            </w:r>
            <w:r w:rsidRPr="00C44EE6">
              <w:rPr>
                <w:i/>
                <w:sz w:val="24"/>
                <w:szCs w:val="24"/>
              </w:rPr>
              <w:t>ла</w:t>
            </w:r>
            <w:r w:rsidRPr="00C44EE6">
              <w:rPr>
                <w:i/>
                <w:sz w:val="24"/>
                <w:szCs w:val="24"/>
                <w:lang w:val="ky-KG"/>
              </w:rPr>
              <w:t>-53,4</w:t>
            </w:r>
            <w:r w:rsidRPr="00C44EE6">
              <w:rPr>
                <w:i/>
                <w:sz w:val="24"/>
                <w:szCs w:val="24"/>
              </w:rPr>
              <w:t xml:space="preserve"> процента, обрабатывающего производства – </w:t>
            </w:r>
            <w:r w:rsidRPr="00C44EE6">
              <w:rPr>
                <w:i/>
                <w:sz w:val="24"/>
                <w:szCs w:val="24"/>
                <w:lang w:val="ky-KG"/>
              </w:rPr>
              <w:t>24,</w:t>
            </w:r>
            <w:proofErr w:type="gramStart"/>
            <w:r w:rsidRPr="00C44EE6">
              <w:rPr>
                <w:i/>
                <w:sz w:val="24"/>
                <w:szCs w:val="24"/>
                <w:lang w:val="ky-KG"/>
              </w:rPr>
              <w:t>0</w:t>
            </w:r>
            <w:r w:rsidRPr="00C44EE6">
              <w:rPr>
                <w:i/>
                <w:sz w:val="24"/>
                <w:szCs w:val="24"/>
              </w:rPr>
              <w:t xml:space="preserve">,  </w:t>
            </w:r>
            <w:r w:rsidRPr="00C44EE6">
              <w:rPr>
                <w:i/>
                <w:sz w:val="24"/>
                <w:szCs w:val="24"/>
                <w:lang w:val="ky-KG"/>
              </w:rPr>
              <w:t>о</w:t>
            </w:r>
            <w:proofErr w:type="spellStart"/>
            <w:r w:rsidRPr="00C44EE6">
              <w:rPr>
                <w:bCs/>
                <w:i/>
                <w:sz w:val="24"/>
                <w:szCs w:val="24"/>
              </w:rPr>
              <w:t>беспечение</w:t>
            </w:r>
            <w:proofErr w:type="spellEnd"/>
            <w:proofErr w:type="gramEnd"/>
            <w:r w:rsidRPr="00C44EE6">
              <w:rPr>
                <w:bCs/>
                <w:i/>
                <w:sz w:val="24"/>
                <w:szCs w:val="24"/>
              </w:rPr>
              <w:t xml:space="preserve"> (снабжение) электроэнергией,</w:t>
            </w:r>
            <w:r w:rsidRPr="00C44EE6">
              <w:rPr>
                <w:bCs/>
                <w:i/>
                <w:sz w:val="24"/>
                <w:szCs w:val="24"/>
                <w:lang w:val="ky-KG"/>
              </w:rPr>
              <w:t xml:space="preserve"> </w:t>
            </w:r>
            <w:r w:rsidRPr="00C44EE6">
              <w:rPr>
                <w:bCs/>
                <w:i/>
                <w:sz w:val="24"/>
                <w:szCs w:val="24"/>
              </w:rPr>
              <w:t xml:space="preserve">газом, паром и кондиционированным </w:t>
            </w:r>
            <w:proofErr w:type="gramStart"/>
            <w:r w:rsidRPr="00C44EE6">
              <w:rPr>
                <w:bCs/>
                <w:i/>
                <w:sz w:val="24"/>
                <w:szCs w:val="24"/>
              </w:rPr>
              <w:t>воздухом</w:t>
            </w:r>
            <w:r w:rsidRPr="00C44EE6">
              <w:rPr>
                <w:i/>
                <w:sz w:val="24"/>
                <w:szCs w:val="24"/>
              </w:rPr>
              <w:t xml:space="preserve">  –</w:t>
            </w:r>
            <w:proofErr w:type="gramEnd"/>
            <w:r w:rsidRPr="00C44EE6">
              <w:rPr>
                <w:i/>
                <w:sz w:val="24"/>
                <w:szCs w:val="24"/>
              </w:rPr>
              <w:t xml:space="preserve"> </w:t>
            </w:r>
            <w:r w:rsidRPr="00C44EE6">
              <w:rPr>
                <w:i/>
                <w:sz w:val="24"/>
                <w:szCs w:val="24"/>
                <w:lang w:val="ky-KG"/>
              </w:rPr>
              <w:t>21,9</w:t>
            </w:r>
            <w:r w:rsidRPr="00C44EE6">
              <w:rPr>
                <w:i/>
                <w:sz w:val="24"/>
                <w:szCs w:val="24"/>
              </w:rPr>
              <w:t xml:space="preserve"> процента</w:t>
            </w:r>
            <w:r w:rsidRPr="00C44EE6">
              <w:rPr>
                <w:i/>
                <w:sz w:val="24"/>
                <w:szCs w:val="24"/>
                <w:lang w:val="ky-KG"/>
              </w:rPr>
              <w:t>, в</w:t>
            </w:r>
            <w:proofErr w:type="spellStart"/>
            <w:r w:rsidRPr="00C44EE6">
              <w:rPr>
                <w:rFonts w:ascii="Kyrghyz Times" w:hAnsi="Kyrghyz Times"/>
                <w:bCs/>
                <w:i/>
                <w:sz w:val="24"/>
                <w:szCs w:val="24"/>
              </w:rPr>
              <w:t>одоснабжение</w:t>
            </w:r>
            <w:proofErr w:type="spellEnd"/>
            <w:r w:rsidRPr="00C44EE6">
              <w:rPr>
                <w:rFonts w:ascii="Kyrghyz Times" w:hAnsi="Kyrghyz Times"/>
                <w:bCs/>
                <w:i/>
                <w:sz w:val="24"/>
                <w:szCs w:val="24"/>
              </w:rPr>
              <w:t xml:space="preserve">, </w:t>
            </w:r>
            <w:proofErr w:type="spellStart"/>
            <w:proofErr w:type="gramStart"/>
            <w:r w:rsidRPr="00C44EE6">
              <w:rPr>
                <w:rFonts w:ascii="Kyrghyz Times" w:hAnsi="Kyrghyz Times"/>
                <w:bCs/>
                <w:i/>
                <w:sz w:val="24"/>
                <w:szCs w:val="24"/>
              </w:rPr>
              <w:t>очистка,обработка</w:t>
            </w:r>
            <w:proofErr w:type="spellEnd"/>
            <w:proofErr w:type="gramEnd"/>
            <w:r w:rsidRPr="00C44EE6">
              <w:rPr>
                <w:rFonts w:ascii="Kyrghyz Times" w:hAnsi="Kyrghyz Times"/>
                <w:bCs/>
                <w:i/>
                <w:sz w:val="24"/>
                <w:szCs w:val="24"/>
                <w:lang w:val="ky-KG"/>
              </w:rPr>
              <w:t xml:space="preserve"> </w:t>
            </w:r>
            <w:r w:rsidRPr="00C44EE6">
              <w:rPr>
                <w:rFonts w:ascii="Kyrghyz Times" w:hAnsi="Kyrghyz Times"/>
                <w:bCs/>
                <w:i/>
                <w:sz w:val="24"/>
                <w:szCs w:val="24"/>
              </w:rPr>
              <w:t>отходов и получение вторичного сырья</w:t>
            </w:r>
            <w:r w:rsidRPr="00C44EE6">
              <w:rPr>
                <w:rFonts w:ascii="Kyrghyz Times" w:hAnsi="Kyrghyz Times"/>
                <w:bCs/>
                <w:i/>
                <w:sz w:val="24"/>
                <w:szCs w:val="24"/>
                <w:lang w:val="ky-KG"/>
              </w:rPr>
              <w:t>- 0,7процента.</w:t>
            </w:r>
          </w:p>
          <w:p w14:paraId="4522353E" w14:textId="77777777" w:rsidR="00C70988" w:rsidRPr="00C44EE6" w:rsidRDefault="00C70988" w:rsidP="00C70988">
            <w:pPr>
              <w:ind w:firstLine="708"/>
              <w:jc w:val="both"/>
              <w:rPr>
                <w:i/>
                <w:sz w:val="24"/>
                <w:szCs w:val="24"/>
                <w:lang w:val="ky-KG"/>
              </w:rPr>
            </w:pPr>
          </w:p>
        </w:tc>
      </w:tr>
    </w:tbl>
    <w:p w14:paraId="4CE27055" w14:textId="49F3EFD9" w:rsidR="007271A0" w:rsidRPr="00C44EE6" w:rsidRDefault="00C75D86" w:rsidP="007271A0">
      <w:pPr>
        <w:rPr>
          <w:sz w:val="24"/>
          <w:szCs w:val="24"/>
          <w:lang w:val="ky-KG"/>
        </w:rPr>
      </w:pPr>
      <w:r w:rsidRPr="00C44EE6">
        <w:rPr>
          <w:noProof/>
        </w:rPr>
        <w:drawing>
          <wp:anchor distT="134112" distB="176784" distL="480060" distR="838200" simplePos="0" relativeHeight="251772928" behindDoc="0" locked="0" layoutInCell="1" allowOverlap="1" wp14:anchorId="6D6D1C11" wp14:editId="13A616BD">
            <wp:simplePos x="0" y="0"/>
            <wp:positionH relativeFrom="column">
              <wp:posOffset>384810</wp:posOffset>
            </wp:positionH>
            <wp:positionV relativeFrom="paragraph">
              <wp:posOffset>1346835</wp:posOffset>
            </wp:positionV>
            <wp:extent cx="5523865" cy="2602865"/>
            <wp:effectExtent l="0" t="0" r="0" b="0"/>
            <wp:wrapSquare wrapText="bothSides"/>
            <wp:docPr id="765734484" name="Объект 35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anchor>
        </w:drawing>
      </w:r>
    </w:p>
    <w:tbl>
      <w:tblPr>
        <w:tblW w:w="0" w:type="auto"/>
        <w:tblInd w:w="250" w:type="dxa"/>
        <w:tblLook w:val="04A0" w:firstRow="1" w:lastRow="0" w:firstColumn="1" w:lastColumn="0" w:noHBand="0" w:noVBand="1"/>
      </w:tblPr>
      <w:tblGrid>
        <w:gridCol w:w="4628"/>
        <w:gridCol w:w="4760"/>
      </w:tblGrid>
      <w:tr w:rsidR="00C44EE6" w:rsidRPr="00C44EE6" w14:paraId="79491AA5" w14:textId="77777777" w:rsidTr="00F723F4">
        <w:tc>
          <w:tcPr>
            <w:tcW w:w="4628" w:type="dxa"/>
          </w:tcPr>
          <w:p w14:paraId="25FC3F27" w14:textId="3D63E1BC" w:rsidR="007271A0" w:rsidRPr="00C44EE6" w:rsidRDefault="007271A0" w:rsidP="00C067BF">
            <w:pPr>
              <w:jc w:val="center"/>
              <w:rPr>
                <w:b/>
                <w:sz w:val="24"/>
                <w:szCs w:val="24"/>
                <w:lang w:val="ky-KG"/>
              </w:rPr>
            </w:pPr>
            <w:r w:rsidRPr="00C44EE6">
              <w:rPr>
                <w:b/>
                <w:sz w:val="24"/>
                <w:szCs w:val="24"/>
                <w:lang w:val="ky-KG"/>
              </w:rPr>
              <w:t>Өндүрүштүн экономикалык ишмердүүлүктүн түрлөрү боюнча 202</w:t>
            </w:r>
            <w:r w:rsidR="00C70988" w:rsidRPr="00C44EE6">
              <w:rPr>
                <w:b/>
                <w:sz w:val="24"/>
                <w:szCs w:val="24"/>
                <w:lang w:val="ky-KG"/>
              </w:rPr>
              <w:t>4</w:t>
            </w:r>
            <w:r w:rsidRPr="00C44EE6">
              <w:rPr>
                <w:b/>
                <w:sz w:val="24"/>
                <w:szCs w:val="24"/>
                <w:lang w:val="ky-KG"/>
              </w:rPr>
              <w:t>-жылдагы структурасы</w:t>
            </w:r>
          </w:p>
          <w:p w14:paraId="590F7F94" w14:textId="77777777" w:rsidR="007271A0" w:rsidRPr="00C44EE6" w:rsidRDefault="007271A0" w:rsidP="00C067BF">
            <w:pPr>
              <w:jc w:val="center"/>
              <w:rPr>
                <w:rFonts w:ascii="Times New Roman UniToktom" w:hAnsi="Times New Roman UniToktom" w:cs="Times New Roman UniToktom"/>
                <w:b/>
                <w:sz w:val="22"/>
                <w:szCs w:val="22"/>
                <w:lang w:val="ky-KG"/>
              </w:rPr>
            </w:pPr>
            <w:r w:rsidRPr="00C44EE6">
              <w:rPr>
                <w:sz w:val="22"/>
                <w:szCs w:val="22"/>
                <w:lang w:val="ky-KG"/>
              </w:rPr>
              <w:t>(жалпы көлөмгө карата пайыз менен)</w:t>
            </w:r>
          </w:p>
        </w:tc>
        <w:tc>
          <w:tcPr>
            <w:tcW w:w="4760" w:type="dxa"/>
          </w:tcPr>
          <w:p w14:paraId="429E2463" w14:textId="605A3C64" w:rsidR="007271A0" w:rsidRPr="00C44EE6" w:rsidRDefault="007271A0" w:rsidP="00C067BF">
            <w:pPr>
              <w:ind w:firstLine="708"/>
              <w:jc w:val="center"/>
              <w:rPr>
                <w:b/>
                <w:i/>
                <w:sz w:val="24"/>
                <w:szCs w:val="24"/>
              </w:rPr>
            </w:pPr>
            <w:r w:rsidRPr="00C44EE6">
              <w:rPr>
                <w:b/>
                <w:i/>
                <w:sz w:val="24"/>
                <w:szCs w:val="24"/>
              </w:rPr>
              <w:t xml:space="preserve">Структура промышленного производства </w:t>
            </w:r>
            <w:proofErr w:type="gramStart"/>
            <w:r w:rsidRPr="00C44EE6">
              <w:rPr>
                <w:b/>
                <w:i/>
                <w:sz w:val="24"/>
                <w:szCs w:val="24"/>
              </w:rPr>
              <w:t>по  видам</w:t>
            </w:r>
            <w:proofErr w:type="gramEnd"/>
            <w:r w:rsidRPr="00C44EE6">
              <w:rPr>
                <w:b/>
                <w:i/>
                <w:sz w:val="24"/>
                <w:szCs w:val="24"/>
                <w:lang w:val="ky-KG"/>
              </w:rPr>
              <w:t xml:space="preserve"> </w:t>
            </w:r>
            <w:r w:rsidRPr="00C44EE6">
              <w:rPr>
                <w:b/>
                <w:i/>
                <w:sz w:val="24"/>
                <w:szCs w:val="24"/>
              </w:rPr>
              <w:t>экономической деятельности в 20</w:t>
            </w:r>
            <w:r w:rsidRPr="00C44EE6">
              <w:rPr>
                <w:b/>
                <w:i/>
                <w:sz w:val="24"/>
                <w:szCs w:val="24"/>
                <w:lang w:val="ky-KG"/>
              </w:rPr>
              <w:t>2</w:t>
            </w:r>
            <w:r w:rsidR="00C70988" w:rsidRPr="00C44EE6">
              <w:rPr>
                <w:b/>
                <w:i/>
                <w:sz w:val="24"/>
                <w:szCs w:val="24"/>
                <w:lang w:val="ky-KG"/>
              </w:rPr>
              <w:t>4</w:t>
            </w:r>
            <w:r w:rsidRPr="00C44EE6">
              <w:rPr>
                <w:b/>
                <w:i/>
                <w:sz w:val="24"/>
                <w:szCs w:val="24"/>
              </w:rPr>
              <w:t xml:space="preserve"> год</w:t>
            </w:r>
            <w:r w:rsidRPr="00C44EE6">
              <w:rPr>
                <w:b/>
                <w:i/>
                <w:sz w:val="24"/>
                <w:szCs w:val="24"/>
                <w:lang w:val="ky-KG"/>
              </w:rPr>
              <w:t>у</w:t>
            </w:r>
          </w:p>
          <w:p w14:paraId="47E6B8B7" w14:textId="77777777" w:rsidR="007271A0" w:rsidRPr="00C44EE6" w:rsidRDefault="007271A0" w:rsidP="00C067BF">
            <w:pPr>
              <w:pStyle w:val="24"/>
              <w:rPr>
                <w:rFonts w:ascii="Times New Roman UniToktom" w:hAnsi="Times New Roman UniToktom" w:cs="Times New Roman UniToktom"/>
                <w:i/>
                <w:sz w:val="22"/>
                <w:szCs w:val="22"/>
              </w:rPr>
            </w:pPr>
            <w:r w:rsidRPr="00C44EE6">
              <w:rPr>
                <w:i/>
                <w:sz w:val="22"/>
                <w:szCs w:val="22"/>
              </w:rPr>
              <w:t>(в процентах к общему объему производства</w:t>
            </w:r>
            <w:r w:rsidRPr="00C44EE6">
              <w:rPr>
                <w:rFonts w:ascii="Times New Roman UniToktom" w:hAnsi="Times New Roman UniToktom" w:cs="Times New Roman UniToktom"/>
                <w:i/>
                <w:sz w:val="22"/>
                <w:szCs w:val="22"/>
              </w:rPr>
              <w:t>)</w:t>
            </w:r>
          </w:p>
        </w:tc>
      </w:tr>
      <w:tr w:rsidR="00C44EE6" w:rsidRPr="00C44EE6" w14:paraId="5CF63E74" w14:textId="77777777" w:rsidTr="00F723F4">
        <w:tc>
          <w:tcPr>
            <w:tcW w:w="4628" w:type="dxa"/>
          </w:tcPr>
          <w:p w14:paraId="049027CD" w14:textId="77777777" w:rsidR="007271A0" w:rsidRPr="00C44EE6" w:rsidRDefault="007271A0" w:rsidP="00C067BF">
            <w:pPr>
              <w:jc w:val="center"/>
              <w:rPr>
                <w:b/>
                <w:sz w:val="24"/>
                <w:szCs w:val="24"/>
                <w:lang w:val="ky-KG"/>
              </w:rPr>
            </w:pPr>
          </w:p>
          <w:p w14:paraId="2953A0B1" w14:textId="77777777" w:rsidR="007271A0" w:rsidRPr="00C44EE6" w:rsidRDefault="007271A0" w:rsidP="00C067BF">
            <w:pPr>
              <w:jc w:val="center"/>
              <w:rPr>
                <w:b/>
                <w:sz w:val="24"/>
                <w:szCs w:val="24"/>
                <w:lang w:val="ky-KG"/>
              </w:rPr>
            </w:pPr>
          </w:p>
        </w:tc>
        <w:tc>
          <w:tcPr>
            <w:tcW w:w="4760" w:type="dxa"/>
          </w:tcPr>
          <w:p w14:paraId="08486924" w14:textId="77777777" w:rsidR="007271A0" w:rsidRPr="00C44EE6" w:rsidRDefault="007271A0" w:rsidP="00C067BF">
            <w:pPr>
              <w:ind w:firstLine="708"/>
              <w:jc w:val="center"/>
              <w:rPr>
                <w:b/>
                <w:i/>
                <w:sz w:val="24"/>
                <w:szCs w:val="24"/>
              </w:rPr>
            </w:pPr>
          </w:p>
        </w:tc>
      </w:tr>
    </w:tbl>
    <w:p w14:paraId="6DC6C0B4" w14:textId="5796A990" w:rsidR="007271A0" w:rsidRPr="00C44EE6" w:rsidRDefault="007271A0" w:rsidP="007271A0">
      <w:pPr>
        <w:ind w:firstLine="708"/>
        <w:jc w:val="both"/>
        <w:rPr>
          <w:sz w:val="24"/>
          <w:szCs w:val="24"/>
          <w:highlight w:val="yellow"/>
          <w:lang w:val="ky-KG"/>
        </w:rPr>
      </w:pPr>
      <w:r w:rsidRPr="00C44EE6">
        <w:rPr>
          <w:sz w:val="24"/>
          <w:szCs w:val="24"/>
          <w:highlight w:val="yellow"/>
          <w:lang w:val="ky-KG"/>
        </w:rPr>
        <w:t xml:space="preserve"> </w:t>
      </w:r>
    </w:p>
    <w:tbl>
      <w:tblPr>
        <w:tblW w:w="9639" w:type="dxa"/>
        <w:tblInd w:w="108" w:type="dxa"/>
        <w:tblLook w:val="04A0" w:firstRow="1" w:lastRow="0" w:firstColumn="1" w:lastColumn="0" w:noHBand="0" w:noVBand="1"/>
      </w:tblPr>
      <w:tblGrid>
        <w:gridCol w:w="4819"/>
        <w:gridCol w:w="4820"/>
      </w:tblGrid>
      <w:tr w:rsidR="00C44EE6" w:rsidRPr="00C44EE6" w14:paraId="4055A146" w14:textId="77777777" w:rsidTr="00F723F4">
        <w:tc>
          <w:tcPr>
            <w:tcW w:w="4819" w:type="dxa"/>
          </w:tcPr>
          <w:p w14:paraId="56D74DC0" w14:textId="7A17FE42" w:rsidR="00F723F4" w:rsidRPr="00C44EE6" w:rsidRDefault="00C70988" w:rsidP="00F723F4">
            <w:pPr>
              <w:ind w:firstLine="708"/>
              <w:jc w:val="both"/>
              <w:rPr>
                <w:bCs/>
                <w:sz w:val="24"/>
                <w:szCs w:val="24"/>
                <w:lang w:val="ky-KG"/>
              </w:rPr>
            </w:pPr>
            <w:r w:rsidRPr="00C44EE6">
              <w:rPr>
                <w:sz w:val="24"/>
                <w:szCs w:val="24"/>
                <w:lang w:val="ky-KG"/>
              </w:rPr>
              <w:t>2024-жылы облустун өнөр жай жаатында өндүрүлгөн продукциялардын көлөмүнүн 112,4% жогорулаган. Анын ичинде пайдалуу кендерди казуу тармагында жумуш алып барган ишканалар 114,0%, ал эми иштетүү өндүрүшүндөгү ишканалар 103,0% өз жумушун жогорулатышкан.</w:t>
            </w:r>
          </w:p>
        </w:tc>
        <w:tc>
          <w:tcPr>
            <w:tcW w:w="4820" w:type="dxa"/>
          </w:tcPr>
          <w:p w14:paraId="1CCEB07E" w14:textId="4A754124" w:rsidR="00F723F4" w:rsidRPr="00C44EE6" w:rsidRDefault="00C70988" w:rsidP="00F723F4">
            <w:pPr>
              <w:ind w:firstLine="720"/>
              <w:jc w:val="both"/>
              <w:rPr>
                <w:bCs/>
                <w:sz w:val="24"/>
                <w:szCs w:val="24"/>
              </w:rPr>
            </w:pPr>
            <w:r w:rsidRPr="00C44EE6">
              <w:rPr>
                <w:i/>
                <w:sz w:val="24"/>
                <w:szCs w:val="24"/>
              </w:rPr>
              <w:t xml:space="preserve">В </w:t>
            </w:r>
            <w:r w:rsidRPr="00C44EE6">
              <w:rPr>
                <w:i/>
                <w:sz w:val="24"/>
                <w:szCs w:val="24"/>
                <w:lang w:val="ky-KG"/>
              </w:rPr>
              <w:t>2024 году индекс физического объема (ИФО)</w:t>
            </w:r>
            <w:r w:rsidRPr="00C44EE6">
              <w:rPr>
                <w:i/>
                <w:sz w:val="24"/>
                <w:szCs w:val="24"/>
              </w:rPr>
              <w:t xml:space="preserve"> промышленно</w:t>
            </w:r>
            <w:r w:rsidRPr="00C44EE6">
              <w:rPr>
                <w:i/>
                <w:sz w:val="24"/>
                <w:szCs w:val="24"/>
                <w:lang w:val="ky-KG"/>
              </w:rPr>
              <w:t>й продукции составил 112,4%.</w:t>
            </w:r>
            <w:r w:rsidRPr="00C44EE6">
              <w:rPr>
                <w:i/>
                <w:sz w:val="24"/>
                <w:szCs w:val="24"/>
              </w:rPr>
              <w:t xml:space="preserve"> </w:t>
            </w:r>
            <w:r w:rsidRPr="00C44EE6">
              <w:rPr>
                <w:i/>
                <w:sz w:val="24"/>
                <w:szCs w:val="24"/>
                <w:lang w:val="ky-KG"/>
              </w:rPr>
              <w:t>Предприятия отрасли по добыче полезных ископаемых увеличили   ИФО до 114,0% а обрабатывающей промышленности составило 103,0%.</w:t>
            </w:r>
            <w:r w:rsidRPr="00C44EE6">
              <w:rPr>
                <w:i/>
                <w:sz w:val="24"/>
                <w:szCs w:val="24"/>
              </w:rPr>
              <w:t xml:space="preserve"> </w:t>
            </w:r>
          </w:p>
        </w:tc>
      </w:tr>
      <w:tr w:rsidR="00DF0DD0" w:rsidRPr="00F82B0F" w14:paraId="307A4A22" w14:textId="77777777" w:rsidTr="00DF51EB">
        <w:tc>
          <w:tcPr>
            <w:tcW w:w="4819" w:type="dxa"/>
          </w:tcPr>
          <w:p w14:paraId="2E674DFE" w14:textId="77777777" w:rsidR="00DF0DD0" w:rsidRPr="00400DFA" w:rsidRDefault="00DF0DD0" w:rsidP="00DF51EB">
            <w:pPr>
              <w:ind w:firstLine="708"/>
              <w:jc w:val="center"/>
              <w:rPr>
                <w:b/>
                <w:sz w:val="24"/>
              </w:rPr>
            </w:pPr>
            <w:r w:rsidRPr="00400DFA">
              <w:rPr>
                <w:b/>
                <w:sz w:val="24"/>
                <w:szCs w:val="24"/>
                <w:lang w:val="ky-KG"/>
              </w:rPr>
              <w:t>Айыл чарбасы</w:t>
            </w:r>
            <w:r w:rsidRPr="00400DFA">
              <w:rPr>
                <w:b/>
                <w:sz w:val="24"/>
                <w:szCs w:val="24"/>
              </w:rPr>
              <w:t>.</w:t>
            </w:r>
          </w:p>
        </w:tc>
        <w:tc>
          <w:tcPr>
            <w:tcW w:w="4820" w:type="dxa"/>
          </w:tcPr>
          <w:p w14:paraId="4C27DDF1" w14:textId="77777777" w:rsidR="00DF0DD0" w:rsidRPr="00400DFA" w:rsidRDefault="00DF0DD0" w:rsidP="00DF51EB">
            <w:pPr>
              <w:ind w:firstLine="720"/>
              <w:jc w:val="center"/>
              <w:rPr>
                <w:b/>
                <w:sz w:val="24"/>
              </w:rPr>
            </w:pPr>
            <w:r w:rsidRPr="00400DFA">
              <w:rPr>
                <w:b/>
                <w:sz w:val="24"/>
                <w:szCs w:val="24"/>
              </w:rPr>
              <w:t>Сельское хозяйство.</w:t>
            </w:r>
          </w:p>
        </w:tc>
      </w:tr>
      <w:tr w:rsidR="006968EA" w:rsidRPr="00F82B0F" w14:paraId="3A0B57EA" w14:textId="77777777" w:rsidTr="00DF51EB">
        <w:tc>
          <w:tcPr>
            <w:tcW w:w="4819" w:type="dxa"/>
          </w:tcPr>
          <w:p w14:paraId="5E7ABD30" w14:textId="0F6EAD41" w:rsidR="006968EA" w:rsidRPr="00C44EE6" w:rsidRDefault="006968EA" w:rsidP="006968EA">
            <w:pPr>
              <w:jc w:val="both"/>
              <w:rPr>
                <w:sz w:val="24"/>
                <w:lang w:val="ky-KG"/>
              </w:rPr>
            </w:pPr>
            <w:r w:rsidRPr="00C44EE6">
              <w:rPr>
                <w:sz w:val="24"/>
                <w:szCs w:val="24"/>
                <w:lang w:val="ky-KG"/>
              </w:rPr>
              <w:t xml:space="preserve">       Айыл чарбасынын, токой чарбасынын жана балык уулоочулуктун дүң чыгарылышынын көлөмү 2024-жылы жалпысынан облус боюнча 76302,6 млн. сомду түздү. Физикалык көлөмдүн индекси өткөн жылдын деңгээлине салыштырганда 104,3 пайызды түздү.</w:t>
            </w:r>
          </w:p>
        </w:tc>
        <w:tc>
          <w:tcPr>
            <w:tcW w:w="4820" w:type="dxa"/>
          </w:tcPr>
          <w:p w14:paraId="25B8B52D" w14:textId="2D1D77D7" w:rsidR="006968EA" w:rsidRPr="00C44EE6" w:rsidRDefault="006968EA" w:rsidP="006968EA">
            <w:pPr>
              <w:jc w:val="both"/>
              <w:rPr>
                <w:i/>
                <w:sz w:val="24"/>
                <w:szCs w:val="24"/>
              </w:rPr>
            </w:pPr>
            <w:r w:rsidRPr="00C44EE6">
              <w:rPr>
                <w:i/>
                <w:sz w:val="24"/>
                <w:szCs w:val="24"/>
              </w:rPr>
              <w:t>Объем валового выпуска сельского хозяйства, лесного хозяйства</w:t>
            </w:r>
            <w:r w:rsidRPr="00C44EE6">
              <w:rPr>
                <w:i/>
                <w:sz w:val="24"/>
                <w:szCs w:val="24"/>
                <w:lang w:val="ky-KG"/>
              </w:rPr>
              <w:t xml:space="preserve"> и рыболовства</w:t>
            </w:r>
            <w:r w:rsidRPr="00C44EE6">
              <w:rPr>
                <w:i/>
                <w:sz w:val="24"/>
                <w:szCs w:val="24"/>
              </w:rPr>
              <w:t xml:space="preserve"> за 20</w:t>
            </w:r>
            <w:r w:rsidRPr="00C44EE6">
              <w:rPr>
                <w:i/>
                <w:sz w:val="24"/>
                <w:szCs w:val="24"/>
                <w:lang w:val="ky-KG"/>
              </w:rPr>
              <w:t>24</w:t>
            </w:r>
            <w:r w:rsidRPr="00C44EE6">
              <w:rPr>
                <w:i/>
                <w:sz w:val="24"/>
                <w:szCs w:val="24"/>
              </w:rPr>
              <w:t xml:space="preserve"> г. составил 7</w:t>
            </w:r>
            <w:r w:rsidRPr="00C44EE6">
              <w:rPr>
                <w:i/>
                <w:sz w:val="24"/>
                <w:szCs w:val="24"/>
                <w:lang w:val="ky-KG"/>
              </w:rPr>
              <w:t>6302,6</w:t>
            </w:r>
            <w:r w:rsidRPr="00C44EE6">
              <w:rPr>
                <w:i/>
                <w:sz w:val="24"/>
                <w:szCs w:val="24"/>
              </w:rPr>
              <w:t xml:space="preserve"> млн. сомов. Индекс физического объема валового выпуска продукции сельского хозяйства по сравнению с уровнем прошлого года на 1</w:t>
            </w:r>
            <w:r w:rsidRPr="00C44EE6">
              <w:rPr>
                <w:i/>
                <w:sz w:val="24"/>
                <w:szCs w:val="24"/>
                <w:lang w:val="ky-KG"/>
              </w:rPr>
              <w:t>04,3</w:t>
            </w:r>
            <w:r w:rsidRPr="00C44EE6">
              <w:rPr>
                <w:i/>
                <w:sz w:val="24"/>
                <w:szCs w:val="24"/>
              </w:rPr>
              <w:t xml:space="preserve"> процента. </w:t>
            </w:r>
          </w:p>
        </w:tc>
      </w:tr>
      <w:tr w:rsidR="006968EA" w:rsidRPr="00F82B0F" w14:paraId="60922617" w14:textId="77777777" w:rsidTr="00DF51EB">
        <w:tc>
          <w:tcPr>
            <w:tcW w:w="4819" w:type="dxa"/>
          </w:tcPr>
          <w:p w14:paraId="60387A4E" w14:textId="3BAD9463" w:rsidR="006968EA" w:rsidRPr="00BB0AE6" w:rsidRDefault="006968EA" w:rsidP="006968EA">
            <w:pPr>
              <w:jc w:val="both"/>
              <w:rPr>
                <w:sz w:val="24"/>
                <w:lang w:val="ky-KG"/>
              </w:rPr>
            </w:pPr>
            <w:r w:rsidRPr="00BB0AE6">
              <w:rPr>
                <w:sz w:val="24"/>
                <w:szCs w:val="24"/>
                <w:lang w:val="ky-KG"/>
              </w:rPr>
              <w:t xml:space="preserve">        202</w:t>
            </w:r>
            <w:r w:rsidR="00C510C7" w:rsidRPr="00BB0AE6">
              <w:rPr>
                <w:sz w:val="24"/>
                <w:szCs w:val="24"/>
                <w:lang w:val="ky-KG"/>
              </w:rPr>
              <w:t>4</w:t>
            </w:r>
            <w:r w:rsidRPr="00BB0AE6">
              <w:rPr>
                <w:sz w:val="24"/>
                <w:szCs w:val="24"/>
                <w:lang w:val="ky-KG"/>
              </w:rPr>
              <w:t>-жылдын 1-январына карата  облустун аймагында катталган айыл чарба, токой чарба жана балык уулоочулук чөйрөсү менен байланышкан ишмердикти ишке ашырган чарба жүргүзүүчү субъектилердин саны 10</w:t>
            </w:r>
            <w:r w:rsidR="00C510C7" w:rsidRPr="00BB0AE6">
              <w:rPr>
                <w:sz w:val="24"/>
                <w:szCs w:val="24"/>
                <w:lang w:val="ky-KG"/>
              </w:rPr>
              <w:t>7194</w:t>
            </w:r>
            <w:r w:rsidRPr="00BB0AE6">
              <w:rPr>
                <w:sz w:val="24"/>
                <w:szCs w:val="24"/>
                <w:lang w:val="ky-KG"/>
              </w:rPr>
              <w:t xml:space="preserve"> бирдикти түздү.  20</w:t>
            </w:r>
            <w:r w:rsidR="00C510C7" w:rsidRPr="00BB0AE6">
              <w:rPr>
                <w:sz w:val="24"/>
                <w:szCs w:val="24"/>
                <w:lang w:val="ky-KG"/>
              </w:rPr>
              <w:t>20</w:t>
            </w:r>
            <w:r w:rsidRPr="00BB0AE6">
              <w:rPr>
                <w:sz w:val="24"/>
                <w:szCs w:val="24"/>
                <w:lang w:val="ky-KG"/>
              </w:rPr>
              <w:t xml:space="preserve">-жылга салыштырмалуу </w:t>
            </w:r>
            <w:r w:rsidR="00C510C7" w:rsidRPr="00BB0AE6">
              <w:rPr>
                <w:sz w:val="24"/>
                <w:szCs w:val="24"/>
                <w:lang w:val="ky-KG"/>
              </w:rPr>
              <w:t>1313</w:t>
            </w:r>
            <w:r w:rsidRPr="00BB0AE6">
              <w:rPr>
                <w:sz w:val="24"/>
                <w:szCs w:val="24"/>
                <w:lang w:val="ky-KG"/>
              </w:rPr>
              <w:t xml:space="preserve"> бирдикке </w:t>
            </w:r>
            <w:r w:rsidR="00C510C7" w:rsidRPr="00BB0AE6">
              <w:rPr>
                <w:sz w:val="24"/>
                <w:szCs w:val="24"/>
                <w:lang w:val="ky-KG"/>
              </w:rPr>
              <w:t>азайган</w:t>
            </w:r>
            <w:r w:rsidRPr="00BB0AE6">
              <w:rPr>
                <w:sz w:val="24"/>
                <w:szCs w:val="24"/>
                <w:lang w:val="ky-KG"/>
              </w:rPr>
              <w:t xml:space="preserve">. </w:t>
            </w:r>
          </w:p>
        </w:tc>
        <w:tc>
          <w:tcPr>
            <w:tcW w:w="4820" w:type="dxa"/>
          </w:tcPr>
          <w:p w14:paraId="71B8FB6B" w14:textId="1CD7DF8A" w:rsidR="006968EA" w:rsidRPr="00BB0AE6" w:rsidRDefault="006968EA" w:rsidP="006968EA">
            <w:pPr>
              <w:ind w:firstLine="720"/>
              <w:jc w:val="both"/>
              <w:rPr>
                <w:i/>
                <w:sz w:val="24"/>
                <w:szCs w:val="24"/>
                <w:lang w:val="ky-KG"/>
              </w:rPr>
            </w:pPr>
            <w:r w:rsidRPr="00BB0AE6">
              <w:rPr>
                <w:i/>
                <w:sz w:val="24"/>
                <w:szCs w:val="24"/>
              </w:rPr>
              <w:t>На 1 января 20</w:t>
            </w:r>
            <w:r w:rsidRPr="00BB0AE6">
              <w:rPr>
                <w:i/>
                <w:sz w:val="24"/>
                <w:szCs w:val="24"/>
                <w:lang w:val="ky-KG"/>
              </w:rPr>
              <w:t>2</w:t>
            </w:r>
            <w:r w:rsidR="00C510C7" w:rsidRPr="00BB0AE6">
              <w:rPr>
                <w:i/>
                <w:sz w:val="24"/>
                <w:szCs w:val="24"/>
                <w:lang w:val="ky-KG"/>
              </w:rPr>
              <w:t>4</w:t>
            </w:r>
            <w:r w:rsidRPr="00BB0AE6">
              <w:rPr>
                <w:i/>
                <w:sz w:val="24"/>
                <w:szCs w:val="24"/>
                <w:lang w:val="ky-KG"/>
              </w:rPr>
              <w:t xml:space="preserve"> </w:t>
            </w:r>
            <w:r w:rsidRPr="00BB0AE6">
              <w:rPr>
                <w:i/>
                <w:sz w:val="24"/>
                <w:szCs w:val="24"/>
              </w:rPr>
              <w:t xml:space="preserve">г. на территории </w:t>
            </w:r>
            <w:r w:rsidRPr="00BB0AE6">
              <w:rPr>
                <w:i/>
                <w:sz w:val="24"/>
                <w:szCs w:val="24"/>
                <w:lang w:val="ky-KG"/>
              </w:rPr>
              <w:t>област</w:t>
            </w:r>
            <w:r w:rsidRPr="00BB0AE6">
              <w:rPr>
                <w:i/>
                <w:sz w:val="24"/>
                <w:szCs w:val="24"/>
              </w:rPr>
              <w:t xml:space="preserve">и </w:t>
            </w:r>
            <w:r w:rsidRPr="00BB0AE6">
              <w:rPr>
                <w:i/>
                <w:sz w:val="24"/>
                <w:szCs w:val="24"/>
                <w:lang w:val="ky-KG"/>
              </w:rPr>
              <w:t>насчитывалось</w:t>
            </w:r>
            <w:r w:rsidRPr="00BB0AE6">
              <w:rPr>
                <w:i/>
                <w:sz w:val="24"/>
                <w:szCs w:val="24"/>
              </w:rPr>
              <w:t xml:space="preserve"> </w:t>
            </w:r>
            <w:r w:rsidRPr="00BB0AE6">
              <w:rPr>
                <w:i/>
                <w:sz w:val="24"/>
                <w:szCs w:val="24"/>
                <w:lang w:val="ky-KG"/>
              </w:rPr>
              <w:t>10</w:t>
            </w:r>
            <w:r w:rsidR="00C510C7" w:rsidRPr="00BB0AE6">
              <w:rPr>
                <w:i/>
                <w:sz w:val="24"/>
                <w:szCs w:val="24"/>
                <w:lang w:val="ky-KG"/>
              </w:rPr>
              <w:t>7194</w:t>
            </w:r>
            <w:r w:rsidRPr="00BB0AE6">
              <w:rPr>
                <w:i/>
                <w:sz w:val="24"/>
                <w:szCs w:val="24"/>
              </w:rPr>
              <w:t xml:space="preserve"> действующих хозяйствующих субъектов, осуществляющих деятельность в сфере сельского хозяйства, лесного хозяйства и рыболовства. </w:t>
            </w:r>
            <w:r w:rsidRPr="00BB0AE6">
              <w:rPr>
                <w:i/>
                <w:sz w:val="24"/>
                <w:szCs w:val="24"/>
                <w:lang w:val="ky-KG"/>
              </w:rPr>
              <w:t>По сравнению с 20</w:t>
            </w:r>
            <w:r w:rsidR="00C510C7" w:rsidRPr="00BB0AE6">
              <w:rPr>
                <w:i/>
                <w:sz w:val="24"/>
                <w:szCs w:val="24"/>
                <w:lang w:val="ky-KG"/>
              </w:rPr>
              <w:t>20</w:t>
            </w:r>
            <w:r w:rsidRPr="00BB0AE6">
              <w:rPr>
                <w:i/>
                <w:sz w:val="24"/>
                <w:szCs w:val="24"/>
                <w:lang w:val="ky-KG"/>
              </w:rPr>
              <w:t xml:space="preserve"> годом у</w:t>
            </w:r>
            <w:r w:rsidR="00C510C7" w:rsidRPr="00BB0AE6">
              <w:rPr>
                <w:i/>
                <w:sz w:val="24"/>
                <w:szCs w:val="24"/>
                <w:lang w:val="ky-KG"/>
              </w:rPr>
              <w:t>меньш</w:t>
            </w:r>
            <w:r w:rsidRPr="00BB0AE6">
              <w:rPr>
                <w:i/>
                <w:sz w:val="24"/>
                <w:szCs w:val="24"/>
                <w:lang w:val="ky-KG"/>
              </w:rPr>
              <w:t xml:space="preserve">илось на </w:t>
            </w:r>
            <w:r w:rsidR="00C510C7" w:rsidRPr="00BB0AE6">
              <w:rPr>
                <w:i/>
                <w:sz w:val="24"/>
                <w:szCs w:val="24"/>
                <w:lang w:val="ky-KG"/>
              </w:rPr>
              <w:t>1313</w:t>
            </w:r>
            <w:r w:rsidRPr="00BB0AE6">
              <w:rPr>
                <w:i/>
                <w:sz w:val="24"/>
                <w:szCs w:val="24"/>
                <w:lang w:val="ky-KG"/>
              </w:rPr>
              <w:t xml:space="preserve"> единиц. </w:t>
            </w:r>
          </w:p>
        </w:tc>
      </w:tr>
      <w:tr w:rsidR="006968EA" w:rsidRPr="00F82B0F" w14:paraId="673B6532" w14:textId="77777777" w:rsidTr="00DF51EB">
        <w:tc>
          <w:tcPr>
            <w:tcW w:w="4819" w:type="dxa"/>
          </w:tcPr>
          <w:p w14:paraId="61CC21B0" w14:textId="57B9D101" w:rsidR="006968EA" w:rsidRPr="00C44EE6" w:rsidRDefault="006968EA" w:rsidP="006968EA">
            <w:pPr>
              <w:jc w:val="both"/>
              <w:rPr>
                <w:sz w:val="24"/>
                <w:lang w:val="ky-KG"/>
              </w:rPr>
            </w:pPr>
            <w:r w:rsidRPr="00C44EE6">
              <w:rPr>
                <w:sz w:val="24"/>
                <w:szCs w:val="24"/>
                <w:lang w:val="ky-KG"/>
              </w:rPr>
              <w:t xml:space="preserve">     2024-жылдын 1-январына карата облус боюнча жалпы айдоо аянты 165364  гектарды түзүп, өткөн жылга  салыштырганда 157 гектарга азайса, ал эми 2020-жылга салыштырмалуу – 277 гектарга азайган.</w:t>
            </w:r>
          </w:p>
        </w:tc>
        <w:tc>
          <w:tcPr>
            <w:tcW w:w="4820" w:type="dxa"/>
          </w:tcPr>
          <w:p w14:paraId="6F3534E7" w14:textId="47C9E034" w:rsidR="006968EA" w:rsidRPr="00C44EE6" w:rsidRDefault="006968EA" w:rsidP="006968EA">
            <w:pPr>
              <w:jc w:val="both"/>
              <w:rPr>
                <w:i/>
                <w:sz w:val="24"/>
                <w:szCs w:val="24"/>
              </w:rPr>
            </w:pPr>
            <w:r w:rsidRPr="00C44EE6">
              <w:rPr>
                <w:i/>
                <w:sz w:val="24"/>
                <w:szCs w:val="24"/>
                <w:lang w:val="ky-KG"/>
              </w:rPr>
              <w:t xml:space="preserve">       На 1января</w:t>
            </w:r>
            <w:r w:rsidRPr="00C44EE6">
              <w:rPr>
                <w:i/>
                <w:sz w:val="24"/>
                <w:szCs w:val="24"/>
              </w:rPr>
              <w:t xml:space="preserve"> 20</w:t>
            </w:r>
            <w:r w:rsidRPr="00C44EE6">
              <w:rPr>
                <w:i/>
                <w:sz w:val="24"/>
                <w:szCs w:val="24"/>
                <w:lang w:val="ky-KG"/>
              </w:rPr>
              <w:t>24</w:t>
            </w:r>
            <w:r w:rsidRPr="00C44EE6">
              <w:rPr>
                <w:i/>
                <w:sz w:val="24"/>
                <w:szCs w:val="24"/>
              </w:rPr>
              <w:t xml:space="preserve">г. общая площадь </w:t>
            </w:r>
            <w:r w:rsidRPr="00C44EE6">
              <w:rPr>
                <w:i/>
                <w:sz w:val="24"/>
                <w:szCs w:val="24"/>
                <w:lang w:val="ky-KG"/>
              </w:rPr>
              <w:t>пашни по области</w:t>
            </w:r>
            <w:r w:rsidRPr="00C44EE6">
              <w:rPr>
                <w:i/>
                <w:sz w:val="24"/>
                <w:szCs w:val="24"/>
              </w:rPr>
              <w:t xml:space="preserve"> составила </w:t>
            </w:r>
            <w:proofErr w:type="gramStart"/>
            <w:r w:rsidRPr="00C44EE6">
              <w:rPr>
                <w:rFonts w:ascii="Times New Roman UniToktom" w:hAnsi="Times New Roman UniToktom" w:cs="Times New Roman UniToktom"/>
                <w:i/>
                <w:sz w:val="24"/>
                <w:szCs w:val="24"/>
              </w:rPr>
              <w:t>16</w:t>
            </w:r>
            <w:r w:rsidRPr="00C44EE6">
              <w:rPr>
                <w:rFonts w:ascii="Times New Roman UniToktom" w:hAnsi="Times New Roman UniToktom" w:cs="Times New Roman UniToktom"/>
                <w:i/>
                <w:sz w:val="24"/>
                <w:szCs w:val="24"/>
                <w:lang w:val="ky-KG"/>
              </w:rPr>
              <w:t>5364</w:t>
            </w:r>
            <w:r w:rsidRPr="00C44EE6">
              <w:rPr>
                <w:rFonts w:ascii="Times New Roman UniToktom" w:hAnsi="Times New Roman UniToktom" w:cs="Times New Roman UniToktom"/>
                <w:i/>
                <w:sz w:val="24"/>
                <w:szCs w:val="24"/>
              </w:rPr>
              <w:t xml:space="preserve">  гектаров</w:t>
            </w:r>
            <w:proofErr w:type="gramEnd"/>
            <w:r w:rsidRPr="00C44EE6">
              <w:rPr>
                <w:rFonts w:ascii="Times New Roman UniToktom" w:hAnsi="Times New Roman UniToktom" w:cs="Times New Roman UniToktom"/>
                <w:i/>
                <w:sz w:val="24"/>
                <w:szCs w:val="24"/>
              </w:rPr>
              <w:t>, что на</w:t>
            </w:r>
            <w:r w:rsidRPr="00C44EE6">
              <w:rPr>
                <w:rFonts w:ascii="Times New Roman UniToktom" w:hAnsi="Times New Roman UniToktom" w:cs="Times New Roman UniToktom"/>
                <w:i/>
                <w:sz w:val="24"/>
                <w:szCs w:val="24"/>
                <w:lang w:val="ky-KG"/>
              </w:rPr>
              <w:t>157</w:t>
            </w:r>
            <w:r w:rsidRPr="00C44EE6">
              <w:rPr>
                <w:rFonts w:ascii="Times New Roman UniToktom" w:hAnsi="Times New Roman UniToktom" w:cs="Times New Roman UniToktom"/>
                <w:i/>
                <w:sz w:val="24"/>
                <w:szCs w:val="24"/>
              </w:rPr>
              <w:t xml:space="preserve"> гектаров </w:t>
            </w:r>
            <w:proofErr w:type="gramStart"/>
            <w:r w:rsidRPr="00C44EE6">
              <w:rPr>
                <w:rFonts w:ascii="Times New Roman UniToktom" w:hAnsi="Times New Roman UniToktom" w:cs="Times New Roman UniToktom"/>
                <w:i/>
                <w:sz w:val="24"/>
                <w:szCs w:val="24"/>
                <w:lang w:val="ky-KG"/>
              </w:rPr>
              <w:t>мен</w:t>
            </w:r>
            <w:proofErr w:type="spellStart"/>
            <w:r w:rsidRPr="00C44EE6">
              <w:rPr>
                <w:rFonts w:ascii="Times New Roman UniToktom" w:hAnsi="Times New Roman UniToktom" w:cs="Times New Roman UniToktom"/>
                <w:i/>
                <w:sz w:val="24"/>
                <w:szCs w:val="24"/>
              </w:rPr>
              <w:t>ьше</w:t>
            </w:r>
            <w:proofErr w:type="spellEnd"/>
            <w:proofErr w:type="gramEnd"/>
            <w:r w:rsidRPr="00C44EE6">
              <w:rPr>
                <w:rFonts w:ascii="Times New Roman UniToktom" w:hAnsi="Times New Roman UniToktom" w:cs="Times New Roman UniToktom"/>
                <w:i/>
                <w:sz w:val="24"/>
                <w:szCs w:val="24"/>
              </w:rPr>
              <w:t xml:space="preserve"> </w:t>
            </w:r>
            <w:r w:rsidRPr="00C44EE6">
              <w:rPr>
                <w:rFonts w:ascii="Times New Roman UniToktom" w:hAnsi="Times New Roman UniToktom" w:cs="Times New Roman UniToktom"/>
                <w:i/>
                <w:sz w:val="24"/>
                <w:szCs w:val="24"/>
                <w:lang w:val="ky-KG"/>
              </w:rPr>
              <w:t xml:space="preserve">чем </w:t>
            </w:r>
            <w:proofErr w:type="spellStart"/>
            <w:r w:rsidRPr="00C44EE6">
              <w:rPr>
                <w:rFonts w:ascii="Times New Roman UniToktom" w:hAnsi="Times New Roman UniToktom" w:cs="Times New Roman UniToktom"/>
                <w:i/>
                <w:sz w:val="24"/>
                <w:szCs w:val="24"/>
              </w:rPr>
              <w:t>предыдущ</w:t>
            </w:r>
            <w:proofErr w:type="spellEnd"/>
            <w:r w:rsidRPr="00C44EE6">
              <w:rPr>
                <w:rFonts w:ascii="Times New Roman UniToktom" w:hAnsi="Times New Roman UniToktom" w:cs="Times New Roman UniToktom"/>
                <w:i/>
                <w:sz w:val="24"/>
                <w:szCs w:val="24"/>
                <w:lang w:val="ky-KG"/>
              </w:rPr>
              <w:t>ем</w:t>
            </w:r>
            <w:r w:rsidRPr="00C44EE6">
              <w:rPr>
                <w:rFonts w:ascii="Times New Roman UniToktom" w:hAnsi="Times New Roman UniToktom" w:cs="Times New Roman UniToktom"/>
                <w:i/>
                <w:sz w:val="24"/>
                <w:szCs w:val="24"/>
              </w:rPr>
              <w:t xml:space="preserve"> год</w:t>
            </w:r>
            <w:r w:rsidRPr="00C44EE6">
              <w:rPr>
                <w:rFonts w:ascii="Times New Roman UniToktom" w:hAnsi="Times New Roman UniToktom" w:cs="Times New Roman UniToktom"/>
                <w:i/>
                <w:sz w:val="24"/>
                <w:szCs w:val="24"/>
                <w:lang w:val="ky-KG"/>
              </w:rPr>
              <w:t>у</w:t>
            </w:r>
            <w:r w:rsidRPr="00C44EE6">
              <w:rPr>
                <w:rFonts w:ascii="Times New Roman UniToktom" w:hAnsi="Times New Roman UniToktom" w:cs="Times New Roman UniToktom"/>
                <w:i/>
                <w:sz w:val="24"/>
                <w:szCs w:val="24"/>
              </w:rPr>
              <w:t xml:space="preserve">, </w:t>
            </w:r>
            <w:r w:rsidRPr="00C44EE6">
              <w:rPr>
                <w:rFonts w:ascii="Times New Roman UniToktom" w:hAnsi="Times New Roman UniToktom" w:cs="Times New Roman UniToktom"/>
                <w:i/>
                <w:sz w:val="24"/>
                <w:szCs w:val="24"/>
                <w:lang w:val="ky-KG"/>
              </w:rPr>
              <w:t xml:space="preserve">а по сравнению с 2020 г. уменьшилось на 277 гектаров.  </w:t>
            </w:r>
          </w:p>
        </w:tc>
      </w:tr>
      <w:tr w:rsidR="006968EA" w:rsidRPr="00F82B0F" w14:paraId="04A4AAE6" w14:textId="77777777" w:rsidTr="00DF51EB">
        <w:tc>
          <w:tcPr>
            <w:tcW w:w="4819" w:type="dxa"/>
          </w:tcPr>
          <w:p w14:paraId="5DF3DF0F" w14:textId="77777777" w:rsidR="006968EA" w:rsidRPr="00C44EE6" w:rsidRDefault="006968EA" w:rsidP="006968EA">
            <w:pPr>
              <w:jc w:val="both"/>
              <w:rPr>
                <w:sz w:val="24"/>
                <w:lang w:val="ky-KG"/>
              </w:rPr>
            </w:pPr>
            <w:r w:rsidRPr="00C44EE6">
              <w:rPr>
                <w:sz w:val="24"/>
                <w:lang w:val="ky-KG"/>
              </w:rPr>
              <w:t xml:space="preserve">       Дан өсүмдүктөрүнүн дүң жыйымы (тазаланган салмакта) 2024-жылы 307606 тоннаны түзүп, 2023-жылга салыштырганда 26776,1 тоннага, же 9,5 пайызга көбөйгөн, ал эми 2020-жылга салыштырганда 37063  тоннага, же 13,7 пайызга көбөйдү. </w:t>
            </w:r>
          </w:p>
          <w:p w14:paraId="6FC127AD" w14:textId="77777777" w:rsidR="006968EA" w:rsidRPr="00C44EE6" w:rsidRDefault="006968EA" w:rsidP="006968EA">
            <w:pPr>
              <w:jc w:val="both"/>
              <w:rPr>
                <w:sz w:val="24"/>
                <w:lang w:val="ky-KG"/>
              </w:rPr>
            </w:pPr>
            <w:r w:rsidRPr="00C44EE6">
              <w:rPr>
                <w:sz w:val="24"/>
                <w:lang w:val="ky-KG"/>
              </w:rPr>
              <w:t>2024-жылы дан эгиндеринин дүң жыйымынын 89,6 пайызын, же 275767,4 тоннасын дыйкан (фермер) чарбалары өндүргөн.</w:t>
            </w:r>
          </w:p>
          <w:p w14:paraId="00C179D5" w14:textId="601C00E5" w:rsidR="006968EA" w:rsidRPr="00C44EE6" w:rsidRDefault="006968EA" w:rsidP="006968EA">
            <w:pPr>
              <w:jc w:val="both"/>
              <w:rPr>
                <w:sz w:val="24"/>
                <w:lang w:val="ky-KG"/>
              </w:rPr>
            </w:pPr>
            <w:r w:rsidRPr="00C44EE6">
              <w:rPr>
                <w:sz w:val="24"/>
                <w:lang w:val="ky-KG"/>
              </w:rPr>
              <w:t xml:space="preserve">2024-жылы дан өсүмдүктөрүнүн орточо түшүмдүүлүгү облус боюнча гектарына 44,3 центнерди түзүп, 2023-жылга салыштырганда 1,9 центнерге, ал эми       2020-жылга салыштырганда 0,6 центнерге көбөйгөн. </w:t>
            </w:r>
          </w:p>
        </w:tc>
        <w:tc>
          <w:tcPr>
            <w:tcW w:w="4820" w:type="dxa"/>
          </w:tcPr>
          <w:p w14:paraId="09C48CE7" w14:textId="77777777" w:rsidR="006968EA" w:rsidRPr="00C44EE6" w:rsidRDefault="006968EA" w:rsidP="006968EA">
            <w:pPr>
              <w:jc w:val="both"/>
              <w:rPr>
                <w:i/>
                <w:sz w:val="24"/>
                <w:szCs w:val="24"/>
                <w:lang w:val="ky-KG"/>
              </w:rPr>
            </w:pPr>
            <w:r w:rsidRPr="00C44EE6">
              <w:rPr>
                <w:i/>
                <w:sz w:val="24"/>
                <w:szCs w:val="24"/>
                <w:lang w:val="ky-KG"/>
              </w:rPr>
              <w:t xml:space="preserve">      Валовой сбор зерновых культур (в весе после доработки) в 2024г. составил 307606 тонн,что больше на 26776,1 тонн, или 9,5 процента, чем 2023г. и больше на 37063 тонн,или 13,7 процента–чем в 2020г.</w:t>
            </w:r>
          </w:p>
          <w:p w14:paraId="545E2FCA" w14:textId="77777777" w:rsidR="006968EA" w:rsidRPr="00C44EE6" w:rsidRDefault="006968EA" w:rsidP="006968EA">
            <w:pPr>
              <w:jc w:val="both"/>
              <w:rPr>
                <w:i/>
                <w:sz w:val="24"/>
                <w:szCs w:val="24"/>
                <w:lang w:val="ky-KG"/>
              </w:rPr>
            </w:pPr>
            <w:r w:rsidRPr="00C44EE6">
              <w:rPr>
                <w:i/>
                <w:sz w:val="24"/>
                <w:szCs w:val="24"/>
                <w:lang w:val="ky-KG"/>
              </w:rPr>
              <w:t xml:space="preserve">      В 2024г. удельный вес валового сбора зерновых культур (в весе после доработки) в крестънских (фермерских) хозяйствах составил 89,6 процента, или 275767,4 тонн. </w:t>
            </w:r>
          </w:p>
          <w:p w14:paraId="1B938010" w14:textId="3C5C493A" w:rsidR="006968EA" w:rsidRPr="00C44EE6" w:rsidRDefault="006968EA" w:rsidP="006968EA">
            <w:pPr>
              <w:jc w:val="both"/>
              <w:rPr>
                <w:i/>
                <w:sz w:val="24"/>
                <w:szCs w:val="24"/>
                <w:lang w:val="ky-KG"/>
              </w:rPr>
            </w:pPr>
            <w:r w:rsidRPr="00C44EE6">
              <w:rPr>
                <w:i/>
                <w:sz w:val="24"/>
                <w:szCs w:val="24"/>
                <w:lang w:val="ky-KG"/>
              </w:rPr>
              <w:t xml:space="preserve">В 2024г. средняя урожайность зерновых культур по области составила 44,3 центнеров с гектара и по сравнению с 2023 г. увеличилось на 1,9 центнеров, а по сравнению  с     2020-годом на 0,6 центнеров больше с гектара.     </w:t>
            </w:r>
          </w:p>
        </w:tc>
      </w:tr>
      <w:tr w:rsidR="006968EA" w:rsidRPr="00F82B0F" w14:paraId="5C31A9B2" w14:textId="77777777" w:rsidTr="00DF51EB">
        <w:tc>
          <w:tcPr>
            <w:tcW w:w="4819" w:type="dxa"/>
          </w:tcPr>
          <w:p w14:paraId="3C3CFF2A" w14:textId="06755A3E" w:rsidR="006968EA" w:rsidRPr="00C44EE6" w:rsidRDefault="006968EA" w:rsidP="006968EA">
            <w:pPr>
              <w:jc w:val="both"/>
              <w:rPr>
                <w:sz w:val="24"/>
                <w:lang w:val="ky-KG"/>
              </w:rPr>
            </w:pPr>
            <w:r w:rsidRPr="00C44EE6">
              <w:rPr>
                <w:sz w:val="24"/>
                <w:lang w:val="ky-KG"/>
              </w:rPr>
              <w:t xml:space="preserve">      Пахтанын дүң жыйымы (зачеттук салмакта) 2024-жылы 21827,1 тоннаны түзүп, 2023-жылга салыштырганда 12234,3 тоннага, же 36,1 пайызгаазайган, ал эми 2020-жылга салыштырганда 19870,1 тоннага, же 47,7 пайызга азайган.   </w:t>
            </w:r>
          </w:p>
        </w:tc>
        <w:tc>
          <w:tcPr>
            <w:tcW w:w="4820" w:type="dxa"/>
          </w:tcPr>
          <w:p w14:paraId="0B15BE49" w14:textId="44377691" w:rsidR="006968EA" w:rsidRPr="00C44EE6" w:rsidRDefault="006968EA" w:rsidP="006968EA">
            <w:pPr>
              <w:jc w:val="both"/>
              <w:rPr>
                <w:rFonts w:ascii="Times New Roman UniToktom" w:hAnsi="Times New Roman UniToktom" w:cs="Times New Roman UniToktom"/>
                <w:i/>
                <w:sz w:val="24"/>
                <w:szCs w:val="24"/>
                <w:lang w:val="ky-KG"/>
              </w:rPr>
            </w:pPr>
            <w:r w:rsidRPr="00C44EE6">
              <w:rPr>
                <w:rFonts w:ascii="Times New Roman UniToktom" w:hAnsi="Times New Roman UniToktom" w:cs="Times New Roman UniToktom"/>
                <w:i/>
                <w:sz w:val="24"/>
                <w:szCs w:val="24"/>
                <w:lang w:val="ky-KG"/>
              </w:rPr>
              <w:t xml:space="preserve">      Валовой сбор хлопка-сырьца (в зачетном весе) в 2024г. составил 21827,1 тонн и по сравнению с 2023г. уменьшилось на 12234,3тонн, или 36,1 процентов, а по сравнению с 2020г. меньше на 19870,1 тонн, или на 47,7 процента.     </w:t>
            </w:r>
          </w:p>
        </w:tc>
      </w:tr>
      <w:tr w:rsidR="006968EA" w:rsidRPr="00F82B0F" w14:paraId="73F084D7" w14:textId="77777777" w:rsidTr="00DF51EB">
        <w:tc>
          <w:tcPr>
            <w:tcW w:w="4819" w:type="dxa"/>
          </w:tcPr>
          <w:p w14:paraId="7847EDD3" w14:textId="111D2422" w:rsidR="006968EA" w:rsidRPr="00C44EE6" w:rsidRDefault="006968EA" w:rsidP="006968EA">
            <w:pPr>
              <w:jc w:val="both"/>
              <w:rPr>
                <w:sz w:val="24"/>
                <w:lang w:val="ky-KG"/>
              </w:rPr>
            </w:pPr>
            <w:r w:rsidRPr="00C44EE6">
              <w:rPr>
                <w:sz w:val="24"/>
                <w:lang w:val="ky-KG"/>
              </w:rPr>
              <w:t xml:space="preserve">      Картошканын дүң жыйымы 2024-жылы 129990,1 тоннаны түзүп, 2023-жылга салыштырганда  2600,4 тоннага, же 2 пайызга көбөйгөн, ал эми 2020-жылга салыштырганда 1976,7 тоннага, же 1,5 пайызга азайган. </w:t>
            </w:r>
          </w:p>
        </w:tc>
        <w:tc>
          <w:tcPr>
            <w:tcW w:w="4820" w:type="dxa"/>
          </w:tcPr>
          <w:p w14:paraId="7A7BA186" w14:textId="230A525F" w:rsidR="006968EA" w:rsidRPr="00C44EE6" w:rsidRDefault="006968EA" w:rsidP="006968EA">
            <w:pPr>
              <w:jc w:val="both"/>
              <w:rPr>
                <w:rFonts w:ascii="Times New Roman UniToktom" w:hAnsi="Times New Roman UniToktom" w:cs="Times New Roman UniToktom"/>
                <w:i/>
                <w:sz w:val="24"/>
                <w:szCs w:val="24"/>
                <w:lang w:val="ky-KG"/>
              </w:rPr>
            </w:pPr>
            <w:r w:rsidRPr="00C44EE6">
              <w:rPr>
                <w:rFonts w:ascii="Times New Roman UniToktom" w:hAnsi="Times New Roman UniToktom" w:cs="Times New Roman UniToktom"/>
                <w:i/>
                <w:sz w:val="24"/>
                <w:szCs w:val="24"/>
                <w:lang w:val="ky-KG"/>
              </w:rPr>
              <w:t xml:space="preserve">     Валовой сбор картофеля в 2024г.  составил 129990,1 тонн, что больше по сравнению с 2023г. на 2600,4 тонн, или на 2 процента, а с 2020-годом -  меньше на 1976,7 тонн, или на 1,5 процента.</w:t>
            </w:r>
          </w:p>
        </w:tc>
      </w:tr>
      <w:tr w:rsidR="006968EA" w:rsidRPr="00F82B0F" w14:paraId="2A8312F9" w14:textId="77777777" w:rsidTr="00DF51EB">
        <w:tc>
          <w:tcPr>
            <w:tcW w:w="4819" w:type="dxa"/>
          </w:tcPr>
          <w:p w14:paraId="6465B7BF" w14:textId="77777777" w:rsidR="006968EA" w:rsidRPr="00C44EE6" w:rsidRDefault="006968EA" w:rsidP="006968EA">
            <w:pPr>
              <w:jc w:val="both"/>
              <w:rPr>
                <w:sz w:val="24"/>
                <w:lang w:val="ky-KG"/>
              </w:rPr>
            </w:pPr>
            <w:r w:rsidRPr="00C44EE6">
              <w:rPr>
                <w:sz w:val="24"/>
                <w:lang w:val="ky-KG"/>
              </w:rPr>
              <w:t xml:space="preserve">      Жашылча 2024-жылы 363773 тонна жыйналып, 2023-жылга салыштырганда 36621,4 тоннага, же 11,2 пайызга көбөйдү, ал эми 2020-жылга салыштырганда 78586 тоннага, же 27,5 пайызга көбөйдү.</w:t>
            </w:r>
          </w:p>
          <w:p w14:paraId="472FD84A" w14:textId="2D4702B0" w:rsidR="006968EA" w:rsidRPr="00C44EE6" w:rsidRDefault="006968EA" w:rsidP="006968EA">
            <w:pPr>
              <w:jc w:val="both"/>
              <w:rPr>
                <w:sz w:val="24"/>
                <w:lang w:val="ky-KG"/>
              </w:rPr>
            </w:pPr>
            <w:r w:rsidRPr="00C44EE6">
              <w:rPr>
                <w:sz w:val="24"/>
                <w:lang w:val="ky-KG"/>
              </w:rPr>
              <w:t>Мөмө-жемиштер 2024-жылы 52161,0 тонна жыйналып, 2023-жылга салыштырганда 9518,0 тоннага, же 22,3 пайызга көбөйгөн, ал эми 2020-жылга салыштырганда 11057,7 тоннага, же 26,9 пайызга көбөйдү.</w:t>
            </w:r>
          </w:p>
        </w:tc>
        <w:tc>
          <w:tcPr>
            <w:tcW w:w="4820" w:type="dxa"/>
          </w:tcPr>
          <w:p w14:paraId="4472E110" w14:textId="77777777" w:rsidR="006968EA" w:rsidRPr="00C44EE6" w:rsidRDefault="006968EA" w:rsidP="006968EA">
            <w:pPr>
              <w:jc w:val="both"/>
              <w:rPr>
                <w:i/>
                <w:sz w:val="24"/>
                <w:szCs w:val="24"/>
                <w:lang w:val="ky-KG"/>
              </w:rPr>
            </w:pPr>
            <w:r w:rsidRPr="00C44EE6">
              <w:rPr>
                <w:i/>
                <w:sz w:val="24"/>
                <w:szCs w:val="24"/>
                <w:lang w:val="ky-KG"/>
              </w:rPr>
              <w:t xml:space="preserve">Овощей собрано в 2024г. 363773 тонн, что больше на 36621,4тонн, или на 11,2процента, чем в 2023 г. А по сравнению с 2020 г. больше на 78586 тонн, или на 27,5 процента. </w:t>
            </w:r>
          </w:p>
          <w:p w14:paraId="5FF08DF6" w14:textId="06310067" w:rsidR="006968EA" w:rsidRPr="00C44EE6" w:rsidRDefault="006968EA" w:rsidP="006968EA">
            <w:pPr>
              <w:jc w:val="both"/>
              <w:rPr>
                <w:i/>
                <w:sz w:val="24"/>
                <w:szCs w:val="24"/>
                <w:lang w:val="ky-KG"/>
              </w:rPr>
            </w:pPr>
            <w:r w:rsidRPr="00C44EE6">
              <w:rPr>
                <w:i/>
                <w:sz w:val="24"/>
                <w:szCs w:val="24"/>
                <w:lang w:val="ky-KG"/>
              </w:rPr>
              <w:t xml:space="preserve">Плодово-ягодных культур в 2024г.  собрано 52161,0 тонн, что больше на 9518,0 тонн, или на 22,3 процента по сравнению с 2023г. а с 2020г. больше на 11057,7 тонн, или на 26,9 процента.    </w:t>
            </w:r>
          </w:p>
        </w:tc>
      </w:tr>
      <w:tr w:rsidR="006968EA" w:rsidRPr="00F82B0F" w14:paraId="6865B2B8" w14:textId="77777777" w:rsidTr="00DF51EB">
        <w:tc>
          <w:tcPr>
            <w:tcW w:w="4819" w:type="dxa"/>
          </w:tcPr>
          <w:p w14:paraId="017BB6EC" w14:textId="06D13675" w:rsidR="006968EA" w:rsidRPr="00C44EE6" w:rsidRDefault="006968EA" w:rsidP="006968EA">
            <w:pPr>
              <w:jc w:val="both"/>
              <w:rPr>
                <w:sz w:val="24"/>
                <w:lang w:val="ky-KG"/>
              </w:rPr>
            </w:pPr>
            <w:r w:rsidRPr="00C44EE6">
              <w:rPr>
                <w:sz w:val="24"/>
                <w:lang w:val="ky-KG"/>
              </w:rPr>
              <w:t xml:space="preserve">Бахча өсүмдүктөрүнүн дүң жыйымы 2024-жылы 109196,6 тоннаны түзүп, 2023-жылга салыштырганда 14857,2 тоннага, же 15,7 пайызга, ал эми 2020-жылга салыштырганда 10057,0 тоннага, же 10,1 пайызга көбөйгөн. </w:t>
            </w:r>
          </w:p>
        </w:tc>
        <w:tc>
          <w:tcPr>
            <w:tcW w:w="4820" w:type="dxa"/>
          </w:tcPr>
          <w:p w14:paraId="022534C2" w14:textId="21FC7C48" w:rsidR="006968EA" w:rsidRPr="00C44EE6" w:rsidRDefault="006968EA" w:rsidP="006968EA">
            <w:pPr>
              <w:jc w:val="both"/>
              <w:rPr>
                <w:i/>
                <w:sz w:val="24"/>
                <w:szCs w:val="24"/>
                <w:lang w:val="ky-KG"/>
              </w:rPr>
            </w:pPr>
            <w:r w:rsidRPr="00C44EE6">
              <w:rPr>
                <w:i/>
                <w:sz w:val="24"/>
              </w:rPr>
              <w:t xml:space="preserve">Валовой сбор бахчевых культур </w:t>
            </w:r>
            <w:r w:rsidRPr="00C44EE6">
              <w:rPr>
                <w:i/>
                <w:sz w:val="24"/>
                <w:lang w:val="ky-KG"/>
              </w:rPr>
              <w:t>в 2024г. составил 109196,6 тонн и по сравнению с 2023г. на 14857,2 тонн, или на 15,7 процента, а по сравнению с 2020 годом меньше на 10057,0 тонн, или на 10,1 процента.</w:t>
            </w:r>
          </w:p>
        </w:tc>
      </w:tr>
      <w:tr w:rsidR="006968EA" w:rsidRPr="00F82B0F" w14:paraId="36C4CA33" w14:textId="77777777" w:rsidTr="00DF51EB">
        <w:tc>
          <w:tcPr>
            <w:tcW w:w="4819" w:type="dxa"/>
          </w:tcPr>
          <w:p w14:paraId="0C3F1648" w14:textId="77777777" w:rsidR="006968EA" w:rsidRPr="00C44EE6" w:rsidRDefault="006968EA" w:rsidP="006968EA">
            <w:pPr>
              <w:jc w:val="both"/>
              <w:rPr>
                <w:sz w:val="24"/>
                <w:lang w:val="ky-KG"/>
              </w:rPr>
            </w:pPr>
            <w:r w:rsidRPr="00C44EE6">
              <w:rPr>
                <w:sz w:val="24"/>
                <w:lang w:val="ky-KG"/>
              </w:rPr>
              <w:t xml:space="preserve">      2023-жылы мурунку жылдарга салыштырмалуу мал чарбасынын дүң продукциясын өндүрүүнүн көбөйүшү ири мүйүздүү малдын, кой-эчкилердин, жылкынын жана үй канаттууларынын санынын өсүшү менен шартталган.     </w:t>
            </w:r>
          </w:p>
          <w:p w14:paraId="6B467077" w14:textId="77777777" w:rsidR="006968EA" w:rsidRPr="00C44EE6" w:rsidRDefault="006968EA" w:rsidP="006968EA">
            <w:pPr>
              <w:jc w:val="both"/>
              <w:rPr>
                <w:sz w:val="24"/>
                <w:lang w:val="ky-KG"/>
              </w:rPr>
            </w:pPr>
            <w:r w:rsidRPr="00C44EE6">
              <w:rPr>
                <w:sz w:val="24"/>
                <w:lang w:val="ky-KG"/>
              </w:rPr>
              <w:t xml:space="preserve">     Эт (союлган салмакта) 2024-жылы бардык категориядагы чарбаларда  75007,5 тонна өндүрүлүп, 2024-жылга салыштырмалуу 1043 тоннага, же 1,4 пайызга, ал эми 2020-жылга салыштырмалуу 6407 тоннага, же 9,2 пайызга көбөйдү. </w:t>
            </w:r>
          </w:p>
          <w:p w14:paraId="08557ACC" w14:textId="77777777" w:rsidR="006968EA" w:rsidRPr="00C44EE6" w:rsidRDefault="006968EA" w:rsidP="006968EA">
            <w:pPr>
              <w:jc w:val="both"/>
              <w:rPr>
                <w:sz w:val="24"/>
                <w:lang w:val="ky-KG"/>
              </w:rPr>
            </w:pPr>
            <w:r w:rsidRPr="00C44EE6">
              <w:rPr>
                <w:sz w:val="24"/>
                <w:lang w:val="ky-KG"/>
              </w:rPr>
              <w:t xml:space="preserve">      Сүт 2024-жылы 381298.4 тонна өндүрүлдү. Бир баш уйдан саалган орточо жылдык сүт 1963,1 килограммды түзүп,   2023-жылга салыштырмалуу 24,1 килограммга, ал эми 2020-жылга салыштырмалуу 39 килограммга көбөйгөн. </w:t>
            </w:r>
          </w:p>
          <w:p w14:paraId="5254976F" w14:textId="77777777" w:rsidR="006968EA" w:rsidRPr="00C44EE6" w:rsidRDefault="006968EA" w:rsidP="006968EA">
            <w:pPr>
              <w:jc w:val="both"/>
              <w:rPr>
                <w:sz w:val="24"/>
                <w:lang w:val="ky-KG"/>
              </w:rPr>
            </w:pPr>
            <w:r w:rsidRPr="00C44EE6">
              <w:rPr>
                <w:sz w:val="24"/>
                <w:lang w:val="ky-KG"/>
              </w:rPr>
              <w:t xml:space="preserve">      Жумуртка 2024-жылы 78447 миң даана өндүрүлүп, 2023-жылга салыштырмалуу 1313 миң даанага, же 1,7 пайызга, ал эми       2020-жылга салыштырмалуу 6651 миң даанага, же 9,2 пайызга көбөйдү. Облус боюнча бир баш мекияндан орточо 113 жумуртка алынып, 2023-жылга салыштырмалуу 18 даанага, ал эми          2020-жылга салыштырмалуу 28 даанага көбөйгөн.     </w:t>
            </w:r>
          </w:p>
          <w:p w14:paraId="1242676D" w14:textId="77777777" w:rsidR="006968EA" w:rsidRPr="00C44EE6" w:rsidRDefault="006968EA" w:rsidP="006968EA">
            <w:pPr>
              <w:jc w:val="both"/>
              <w:rPr>
                <w:sz w:val="24"/>
                <w:lang w:val="ky-KG"/>
              </w:rPr>
            </w:pPr>
            <w:r w:rsidRPr="00C44EE6">
              <w:rPr>
                <w:sz w:val="24"/>
                <w:lang w:val="ky-KG"/>
              </w:rPr>
              <w:t xml:space="preserve">       Жүн (физикалык салмакта) 2024-жылы 2415,9 тонна кыркылып, 2023-жылга салыштырмалуу 20,1 тоннага, же 0,8 пайызга, ал эми 2020-жылга салыштырмалуу 71,1 тоннага, же 3,0 пайызга көбөйгөн. Бир баш койдон кыркылган орточо жүн 2020-2024-жылдары 2,1 килограммды түздү.</w:t>
            </w:r>
          </w:p>
          <w:p w14:paraId="18867BDE" w14:textId="77777777" w:rsidR="006968EA" w:rsidRPr="00C44EE6" w:rsidRDefault="006968EA" w:rsidP="006968EA">
            <w:pPr>
              <w:jc w:val="both"/>
              <w:rPr>
                <w:sz w:val="24"/>
                <w:lang w:val="ky-KG"/>
              </w:rPr>
            </w:pPr>
            <w:r w:rsidRPr="00C44EE6">
              <w:rPr>
                <w:sz w:val="24"/>
                <w:lang w:val="ky-KG"/>
              </w:rPr>
              <w:t xml:space="preserve">      2024-жылдын аягына карата облустун бардык категориядагы чарбаларында ири мүйүздүү мал 388131 башты түзүп,      2023-жылга салыштырмалуу 12879 башка, же 1,7 пайызга, ал эми 2020-жылга салыштырмалуу 36908 башка, же 10,5 пайызга көбөйдү.   </w:t>
            </w:r>
          </w:p>
          <w:p w14:paraId="7A4AC11F" w14:textId="77777777" w:rsidR="006968EA" w:rsidRPr="00C44EE6" w:rsidRDefault="006968EA" w:rsidP="006968EA">
            <w:pPr>
              <w:jc w:val="both"/>
              <w:rPr>
                <w:sz w:val="24"/>
                <w:lang w:val="ky-KG"/>
              </w:rPr>
            </w:pPr>
            <w:r w:rsidRPr="00C44EE6">
              <w:rPr>
                <w:sz w:val="24"/>
                <w:lang w:val="ky-KG"/>
              </w:rPr>
              <w:t xml:space="preserve">      Кой-эчкилердин саны облус боюнча 2024-жылдын аягына карата 1409395 башты түзүп, 2023-жылга салыштырмалуу 27276 башка, же 6.7 пайызга, ал эми     2020-жылга салыштырмалуу 64889 башка, же 4,8 пайызга көбөйдү.    </w:t>
            </w:r>
          </w:p>
          <w:p w14:paraId="20DFBB6C" w14:textId="77777777" w:rsidR="006968EA" w:rsidRPr="00C44EE6" w:rsidRDefault="006968EA" w:rsidP="006968EA">
            <w:pPr>
              <w:jc w:val="both"/>
              <w:rPr>
                <w:sz w:val="24"/>
                <w:lang w:val="ky-KG"/>
              </w:rPr>
            </w:pPr>
            <w:r w:rsidRPr="00C44EE6">
              <w:rPr>
                <w:sz w:val="24"/>
                <w:lang w:val="ky-KG"/>
              </w:rPr>
              <w:t xml:space="preserve">      Жылкылардын саны облус боюнча   2024-жылдын аягына карата 91686 башты түзүп, 2023-жылга салыштырмалуу 3308 башка, же 3,7 пайызга кобөйгөн, ал эми 2020-жылга салыштырмалуу 7497 башка, же 8.9 пайызга көбөйдү.    </w:t>
            </w:r>
          </w:p>
          <w:p w14:paraId="4225ED22" w14:textId="77777777" w:rsidR="006968EA" w:rsidRPr="00C44EE6" w:rsidRDefault="006968EA" w:rsidP="006968EA">
            <w:pPr>
              <w:jc w:val="both"/>
              <w:rPr>
                <w:sz w:val="24"/>
                <w:lang w:val="ky-KG"/>
              </w:rPr>
            </w:pPr>
            <w:r w:rsidRPr="00C44EE6">
              <w:rPr>
                <w:sz w:val="24"/>
                <w:lang w:val="ky-KG"/>
              </w:rPr>
              <w:t xml:space="preserve">      Үй канаттууларынын саны облус боюнча   2024-жылдын аягына карата     1273281 башты түзүп, 2023-жылга салыштырмалуу 69572 башка, же 5.8 пайызга, ал эми 2020-жылга салыштырмалуу 139914 башка, же 12,3    пайызга көбөйдү.  </w:t>
            </w:r>
          </w:p>
          <w:p w14:paraId="101AA389" w14:textId="44071575" w:rsidR="006968EA" w:rsidRPr="00C44EE6" w:rsidRDefault="006968EA" w:rsidP="006968EA">
            <w:pPr>
              <w:jc w:val="both"/>
              <w:rPr>
                <w:sz w:val="24"/>
                <w:lang w:val="ky-KG"/>
              </w:rPr>
            </w:pPr>
            <w:r w:rsidRPr="00C44EE6">
              <w:rPr>
                <w:sz w:val="24"/>
                <w:lang w:val="ky-KG"/>
              </w:rPr>
              <w:t xml:space="preserve">      Ошол эле убакта чочколордун саны 25 башты түзүп, 2021-жылга салыштырмалуу 1 башка, же 0.4 пайызга азайды, 2020-жылга салыштырмалуу 10 башка, же 66,6 пайызга кобөйдү.</w:t>
            </w:r>
          </w:p>
        </w:tc>
        <w:tc>
          <w:tcPr>
            <w:tcW w:w="4820" w:type="dxa"/>
          </w:tcPr>
          <w:p w14:paraId="0CA57F44" w14:textId="77777777" w:rsidR="006968EA" w:rsidRPr="00C44EE6" w:rsidRDefault="006968EA" w:rsidP="006968EA">
            <w:pPr>
              <w:jc w:val="both"/>
              <w:rPr>
                <w:i/>
                <w:sz w:val="24"/>
                <w:lang w:val="ky-KG"/>
              </w:rPr>
            </w:pPr>
            <w:r w:rsidRPr="00C44EE6">
              <w:rPr>
                <w:i/>
                <w:sz w:val="24"/>
                <w:lang w:val="ky-KG"/>
              </w:rPr>
              <w:t xml:space="preserve">      Увеличение производства валовой продукции животноводства в 2023 г. по сравнению с предыдущими годами обусловлено ростом поголовья крупного рогатого скота, овец и коз, лошадей и домашней птицы.</w:t>
            </w:r>
          </w:p>
          <w:p w14:paraId="4410017C" w14:textId="77777777" w:rsidR="006968EA" w:rsidRPr="00C44EE6" w:rsidRDefault="006968EA" w:rsidP="006968EA">
            <w:pPr>
              <w:jc w:val="both"/>
              <w:rPr>
                <w:i/>
                <w:sz w:val="24"/>
                <w:lang w:val="ky-KG"/>
              </w:rPr>
            </w:pPr>
            <w:r w:rsidRPr="00C44EE6">
              <w:rPr>
                <w:i/>
                <w:sz w:val="24"/>
                <w:lang w:val="ky-KG"/>
              </w:rPr>
              <w:t xml:space="preserve">     В 2024 г. хозяйствами всех категорий произведено  тонн мяса (в убойном весе), что больше на 75007,5 тонн, или 1,4 процента по сравнению с 2024 г. и на 6407 тонн, или 9,</w:t>
            </w:r>
            <w:r w:rsidRPr="00C44EE6">
              <w:rPr>
                <w:i/>
                <w:sz w:val="24"/>
              </w:rPr>
              <w:t xml:space="preserve">2 </w:t>
            </w:r>
            <w:r w:rsidRPr="00C44EE6">
              <w:rPr>
                <w:i/>
                <w:sz w:val="24"/>
                <w:lang w:val="ky-KG"/>
              </w:rPr>
              <w:t xml:space="preserve">процента – чем в 2020 г.     </w:t>
            </w:r>
          </w:p>
          <w:p w14:paraId="3515CB36" w14:textId="77777777" w:rsidR="006968EA" w:rsidRPr="00C44EE6" w:rsidRDefault="006968EA" w:rsidP="006968EA">
            <w:pPr>
              <w:jc w:val="both"/>
              <w:rPr>
                <w:i/>
                <w:sz w:val="24"/>
                <w:lang w:val="ky-KG"/>
              </w:rPr>
            </w:pPr>
          </w:p>
          <w:p w14:paraId="2021B64E" w14:textId="77777777" w:rsidR="006968EA" w:rsidRPr="00C44EE6" w:rsidRDefault="006968EA" w:rsidP="006968EA">
            <w:pPr>
              <w:jc w:val="both"/>
              <w:rPr>
                <w:i/>
                <w:sz w:val="24"/>
                <w:lang w:val="ky-KG"/>
              </w:rPr>
            </w:pPr>
          </w:p>
          <w:p w14:paraId="485B8017" w14:textId="77777777" w:rsidR="006968EA" w:rsidRPr="00C44EE6" w:rsidRDefault="006968EA" w:rsidP="006968EA">
            <w:pPr>
              <w:jc w:val="both"/>
              <w:rPr>
                <w:i/>
                <w:sz w:val="24"/>
                <w:lang w:val="ky-KG"/>
              </w:rPr>
            </w:pPr>
            <w:r w:rsidRPr="00C44EE6">
              <w:rPr>
                <w:i/>
                <w:sz w:val="24"/>
                <w:lang w:val="ky-KG"/>
              </w:rPr>
              <w:t>В 2023 г. произведено 372895,5 тонн молока. При этом, средний годовой надой молока от одной коровы составил 1963,1 кг, что больше на 24 кг по сравнению с 202</w:t>
            </w:r>
            <w:r w:rsidRPr="00C44EE6">
              <w:rPr>
                <w:i/>
                <w:sz w:val="24"/>
              </w:rPr>
              <w:t>3</w:t>
            </w:r>
            <w:r w:rsidRPr="00C44EE6">
              <w:rPr>
                <w:i/>
                <w:sz w:val="24"/>
                <w:lang w:val="ky-KG"/>
              </w:rPr>
              <w:t xml:space="preserve"> г. и на 39 кг – чем в 20</w:t>
            </w:r>
            <w:r w:rsidRPr="00C44EE6">
              <w:rPr>
                <w:i/>
                <w:sz w:val="24"/>
              </w:rPr>
              <w:t>20</w:t>
            </w:r>
            <w:r w:rsidRPr="00C44EE6">
              <w:rPr>
                <w:i/>
                <w:sz w:val="24"/>
                <w:lang w:val="ky-KG"/>
              </w:rPr>
              <w:t xml:space="preserve"> г.</w:t>
            </w:r>
          </w:p>
          <w:p w14:paraId="794DBD35" w14:textId="77777777" w:rsidR="006968EA" w:rsidRPr="00C44EE6" w:rsidRDefault="006968EA" w:rsidP="006968EA">
            <w:pPr>
              <w:jc w:val="both"/>
              <w:rPr>
                <w:i/>
                <w:sz w:val="24"/>
                <w:lang w:val="ky-KG"/>
              </w:rPr>
            </w:pPr>
          </w:p>
          <w:p w14:paraId="366085B4" w14:textId="77777777" w:rsidR="006968EA" w:rsidRPr="00C44EE6" w:rsidRDefault="006968EA" w:rsidP="006968EA">
            <w:pPr>
              <w:jc w:val="both"/>
              <w:rPr>
                <w:i/>
                <w:sz w:val="24"/>
                <w:lang w:val="ky-KG"/>
              </w:rPr>
            </w:pPr>
            <w:r w:rsidRPr="00C44EE6">
              <w:rPr>
                <w:i/>
                <w:sz w:val="24"/>
                <w:lang w:val="ky-KG"/>
              </w:rPr>
              <w:t xml:space="preserve">  В 2024 г. произведено 78447 тыс.штук яиц, что на 1313 тыс.шт. или на 1,7 процента больше по сравнению с 20</w:t>
            </w:r>
            <w:r w:rsidRPr="00C44EE6">
              <w:rPr>
                <w:i/>
                <w:sz w:val="24"/>
              </w:rPr>
              <w:t>2</w:t>
            </w:r>
            <w:r w:rsidRPr="00C44EE6">
              <w:rPr>
                <w:i/>
                <w:sz w:val="24"/>
                <w:lang w:val="ky-KG"/>
              </w:rPr>
              <w:t>3 г. и на 6651 тыс.штук или 9,2 процента – чем в 2020 г. В среднем по области от одной курицы-несушки получено 113 штук яиц, что больше на 18 шт. по сравнению с 20</w:t>
            </w:r>
            <w:r w:rsidRPr="00C44EE6">
              <w:rPr>
                <w:i/>
                <w:sz w:val="24"/>
              </w:rPr>
              <w:t>2</w:t>
            </w:r>
            <w:r w:rsidRPr="00C44EE6">
              <w:rPr>
                <w:i/>
                <w:sz w:val="24"/>
                <w:lang w:val="ky-KG"/>
              </w:rPr>
              <w:t xml:space="preserve">3 г. и на 28 шт. – чем в 2020 г.  </w:t>
            </w:r>
          </w:p>
          <w:p w14:paraId="2FF61026" w14:textId="77777777" w:rsidR="006968EA" w:rsidRPr="00C44EE6" w:rsidRDefault="006968EA" w:rsidP="006968EA">
            <w:pPr>
              <w:jc w:val="both"/>
              <w:rPr>
                <w:i/>
                <w:sz w:val="24"/>
                <w:lang w:val="ky-KG"/>
              </w:rPr>
            </w:pPr>
          </w:p>
          <w:p w14:paraId="0DD65FC5" w14:textId="77777777" w:rsidR="006968EA" w:rsidRPr="00C44EE6" w:rsidRDefault="006968EA" w:rsidP="006968EA">
            <w:pPr>
              <w:jc w:val="both"/>
              <w:rPr>
                <w:i/>
                <w:sz w:val="24"/>
                <w:lang w:val="ky-KG"/>
              </w:rPr>
            </w:pPr>
          </w:p>
          <w:p w14:paraId="7424B37F" w14:textId="77777777" w:rsidR="006968EA" w:rsidRPr="00C44EE6" w:rsidRDefault="006968EA" w:rsidP="006968EA">
            <w:pPr>
              <w:jc w:val="both"/>
              <w:rPr>
                <w:i/>
                <w:sz w:val="24"/>
                <w:lang w:val="ky-KG"/>
              </w:rPr>
            </w:pPr>
            <w:r w:rsidRPr="00C44EE6">
              <w:rPr>
                <w:i/>
                <w:sz w:val="24"/>
                <w:lang w:val="ky-KG"/>
              </w:rPr>
              <w:t xml:space="preserve"> В 2024 г. настрижено 2415,9 тонн шерсти (физической массе), что больше на 20,1 тонн, или 0,8 процента по сравнению с 20</w:t>
            </w:r>
            <w:r w:rsidRPr="00C44EE6">
              <w:rPr>
                <w:i/>
                <w:sz w:val="24"/>
              </w:rPr>
              <w:t>2</w:t>
            </w:r>
            <w:r w:rsidRPr="00C44EE6">
              <w:rPr>
                <w:i/>
                <w:sz w:val="24"/>
                <w:lang w:val="ky-KG"/>
              </w:rPr>
              <w:t xml:space="preserve">3 г. и на 71,1 тонн или 3,0 процента – чем в 2020 г. Средний настриг шерсти от одной овцы в 2020-2024 гг. составила 2,1 кг.  </w:t>
            </w:r>
          </w:p>
          <w:p w14:paraId="3F071269" w14:textId="77777777" w:rsidR="006968EA" w:rsidRPr="00C44EE6" w:rsidRDefault="006968EA" w:rsidP="006968EA">
            <w:pPr>
              <w:jc w:val="both"/>
              <w:rPr>
                <w:i/>
                <w:sz w:val="24"/>
              </w:rPr>
            </w:pPr>
          </w:p>
          <w:p w14:paraId="0D5A28FA" w14:textId="77777777" w:rsidR="006968EA" w:rsidRPr="00C44EE6" w:rsidRDefault="006968EA" w:rsidP="006968EA">
            <w:pPr>
              <w:jc w:val="both"/>
              <w:rPr>
                <w:i/>
                <w:sz w:val="24"/>
                <w:lang w:val="ky-KG"/>
              </w:rPr>
            </w:pPr>
          </w:p>
          <w:p w14:paraId="56E2C8B3" w14:textId="77777777" w:rsidR="006968EA" w:rsidRPr="00C44EE6" w:rsidRDefault="006968EA" w:rsidP="006968EA">
            <w:pPr>
              <w:jc w:val="both"/>
              <w:rPr>
                <w:i/>
                <w:sz w:val="24"/>
                <w:lang w:val="ky-KG"/>
              </w:rPr>
            </w:pPr>
            <w:r w:rsidRPr="00C44EE6">
              <w:rPr>
                <w:i/>
                <w:sz w:val="24"/>
                <w:lang w:val="ky-KG"/>
              </w:rPr>
              <w:t xml:space="preserve">На конец 2024г. в хозяйствах всех категорий области содержалось </w:t>
            </w:r>
            <w:r w:rsidRPr="00C44EE6">
              <w:rPr>
                <w:i/>
                <w:sz w:val="24"/>
              </w:rPr>
              <w:t>3</w:t>
            </w:r>
            <w:r w:rsidRPr="00C44EE6">
              <w:rPr>
                <w:i/>
                <w:sz w:val="24"/>
                <w:lang w:val="ky-KG"/>
              </w:rPr>
              <w:t>88131 голов крупного рогатого скота, что больше на 12879 голов, или 1,7 процента, чем на конец 20</w:t>
            </w:r>
            <w:r w:rsidRPr="00C44EE6">
              <w:rPr>
                <w:i/>
                <w:sz w:val="24"/>
              </w:rPr>
              <w:t>2</w:t>
            </w:r>
            <w:r w:rsidRPr="00C44EE6">
              <w:rPr>
                <w:i/>
                <w:sz w:val="24"/>
                <w:lang w:val="ky-KG"/>
              </w:rPr>
              <w:t>3 г. и на 36908 голов больше, или 10,5 процента - чем на конец 2020г.</w:t>
            </w:r>
          </w:p>
          <w:p w14:paraId="553A589D" w14:textId="77777777" w:rsidR="006968EA" w:rsidRPr="00C44EE6" w:rsidRDefault="006968EA" w:rsidP="006968EA">
            <w:pPr>
              <w:jc w:val="both"/>
              <w:rPr>
                <w:i/>
                <w:sz w:val="24"/>
              </w:rPr>
            </w:pPr>
          </w:p>
          <w:p w14:paraId="3A6653DB" w14:textId="77777777" w:rsidR="006968EA" w:rsidRPr="00C44EE6" w:rsidRDefault="006968EA" w:rsidP="006968EA">
            <w:pPr>
              <w:jc w:val="both"/>
              <w:rPr>
                <w:i/>
                <w:sz w:val="24"/>
                <w:lang w:val="ky-KG"/>
              </w:rPr>
            </w:pPr>
            <w:r w:rsidRPr="00C44EE6">
              <w:rPr>
                <w:i/>
                <w:sz w:val="24"/>
                <w:lang w:val="ky-KG"/>
              </w:rPr>
              <w:t>Поголовье овец и коз по области на конец 202</w:t>
            </w:r>
            <w:r w:rsidRPr="00C44EE6">
              <w:rPr>
                <w:i/>
                <w:sz w:val="24"/>
              </w:rPr>
              <w:t>4</w:t>
            </w:r>
            <w:r w:rsidRPr="00C44EE6">
              <w:rPr>
                <w:i/>
                <w:sz w:val="24"/>
                <w:lang w:val="ky-KG"/>
              </w:rPr>
              <w:t xml:space="preserve"> г. составило 1</w:t>
            </w:r>
            <w:r w:rsidRPr="00C44EE6">
              <w:rPr>
                <w:i/>
                <w:sz w:val="24"/>
              </w:rPr>
              <w:t>409395</w:t>
            </w:r>
            <w:r w:rsidRPr="00C44EE6">
              <w:rPr>
                <w:i/>
                <w:sz w:val="24"/>
                <w:lang w:val="ky-KG"/>
              </w:rPr>
              <w:t xml:space="preserve"> голов и по сравнении с 20</w:t>
            </w:r>
            <w:r w:rsidRPr="00C44EE6">
              <w:rPr>
                <w:i/>
                <w:sz w:val="24"/>
              </w:rPr>
              <w:t>23</w:t>
            </w:r>
            <w:r w:rsidRPr="00C44EE6">
              <w:rPr>
                <w:i/>
                <w:sz w:val="24"/>
                <w:lang w:val="ky-KG"/>
              </w:rPr>
              <w:t xml:space="preserve"> г. возросло на </w:t>
            </w:r>
            <w:r w:rsidRPr="00C44EE6">
              <w:rPr>
                <w:i/>
                <w:sz w:val="24"/>
              </w:rPr>
              <w:t>27276</w:t>
            </w:r>
            <w:r w:rsidRPr="00C44EE6">
              <w:rPr>
                <w:i/>
                <w:sz w:val="24"/>
                <w:lang w:val="ky-KG"/>
              </w:rPr>
              <w:t xml:space="preserve"> голов, или на </w:t>
            </w:r>
            <w:r w:rsidRPr="00C44EE6">
              <w:rPr>
                <w:i/>
                <w:sz w:val="24"/>
              </w:rPr>
              <w:t>6.7</w:t>
            </w:r>
            <w:r w:rsidRPr="00C44EE6">
              <w:rPr>
                <w:i/>
                <w:sz w:val="24"/>
                <w:lang w:val="ky-KG"/>
              </w:rPr>
              <w:t xml:space="preserve"> процента, а в сравнении с 20</w:t>
            </w:r>
            <w:r w:rsidRPr="00C44EE6">
              <w:rPr>
                <w:i/>
                <w:sz w:val="24"/>
              </w:rPr>
              <w:t>20</w:t>
            </w:r>
            <w:r w:rsidRPr="00C44EE6">
              <w:rPr>
                <w:i/>
                <w:sz w:val="24"/>
                <w:lang w:val="ky-KG"/>
              </w:rPr>
              <w:t xml:space="preserve"> г. увеличилось на </w:t>
            </w:r>
            <w:r w:rsidRPr="00C44EE6">
              <w:rPr>
                <w:i/>
                <w:sz w:val="24"/>
              </w:rPr>
              <w:t>64889</w:t>
            </w:r>
            <w:r w:rsidRPr="00C44EE6">
              <w:rPr>
                <w:i/>
                <w:sz w:val="24"/>
                <w:lang w:val="ky-KG"/>
              </w:rPr>
              <w:t xml:space="preserve"> голов, или </w:t>
            </w:r>
            <w:r w:rsidRPr="00C44EE6">
              <w:rPr>
                <w:i/>
                <w:sz w:val="24"/>
              </w:rPr>
              <w:t>4</w:t>
            </w:r>
            <w:r w:rsidRPr="00C44EE6">
              <w:rPr>
                <w:i/>
                <w:sz w:val="24"/>
                <w:lang w:val="ky-KG"/>
              </w:rPr>
              <w:t>,</w:t>
            </w:r>
            <w:r w:rsidRPr="00C44EE6">
              <w:rPr>
                <w:i/>
                <w:sz w:val="24"/>
              </w:rPr>
              <w:t>8</w:t>
            </w:r>
            <w:r w:rsidRPr="00C44EE6">
              <w:rPr>
                <w:i/>
                <w:sz w:val="24"/>
                <w:lang w:val="ky-KG"/>
              </w:rPr>
              <w:t xml:space="preserve"> процента.  </w:t>
            </w:r>
          </w:p>
          <w:p w14:paraId="02ABC3B7" w14:textId="77777777" w:rsidR="006968EA" w:rsidRPr="00C44EE6" w:rsidRDefault="006968EA" w:rsidP="006968EA">
            <w:pPr>
              <w:jc w:val="both"/>
              <w:rPr>
                <w:i/>
                <w:sz w:val="24"/>
                <w:lang w:val="ky-KG"/>
              </w:rPr>
            </w:pPr>
            <w:r w:rsidRPr="00C44EE6">
              <w:rPr>
                <w:i/>
                <w:sz w:val="24"/>
                <w:lang w:val="ky-KG"/>
              </w:rPr>
              <w:t xml:space="preserve">      Поголовье лошадей по области на конец 202</w:t>
            </w:r>
            <w:r w:rsidRPr="00C44EE6">
              <w:rPr>
                <w:i/>
                <w:sz w:val="24"/>
              </w:rPr>
              <w:t>4</w:t>
            </w:r>
            <w:r w:rsidRPr="00C44EE6">
              <w:rPr>
                <w:i/>
                <w:sz w:val="24"/>
                <w:lang w:val="ky-KG"/>
              </w:rPr>
              <w:t xml:space="preserve"> г. составило </w:t>
            </w:r>
            <w:r w:rsidRPr="00C44EE6">
              <w:rPr>
                <w:i/>
                <w:sz w:val="24"/>
              </w:rPr>
              <w:t>91686</w:t>
            </w:r>
            <w:r w:rsidRPr="00C44EE6">
              <w:rPr>
                <w:i/>
                <w:sz w:val="24"/>
                <w:lang w:val="ky-KG"/>
              </w:rPr>
              <w:t xml:space="preserve"> голов и по сравнению с 20</w:t>
            </w:r>
            <w:r w:rsidRPr="00C44EE6">
              <w:rPr>
                <w:i/>
                <w:sz w:val="24"/>
              </w:rPr>
              <w:t>23</w:t>
            </w:r>
            <w:r w:rsidRPr="00C44EE6">
              <w:rPr>
                <w:i/>
                <w:sz w:val="24"/>
                <w:lang w:val="ky-KG"/>
              </w:rPr>
              <w:t xml:space="preserve"> г. увеличилось на </w:t>
            </w:r>
            <w:r w:rsidRPr="00C44EE6">
              <w:rPr>
                <w:i/>
                <w:sz w:val="24"/>
              </w:rPr>
              <w:t>3308</w:t>
            </w:r>
            <w:r w:rsidRPr="00C44EE6">
              <w:rPr>
                <w:i/>
                <w:sz w:val="24"/>
                <w:lang w:val="ky-KG"/>
              </w:rPr>
              <w:t xml:space="preserve"> голов, или </w:t>
            </w:r>
            <w:r w:rsidRPr="00C44EE6">
              <w:rPr>
                <w:i/>
                <w:sz w:val="24"/>
              </w:rPr>
              <w:t>3.7</w:t>
            </w:r>
            <w:r w:rsidRPr="00C44EE6">
              <w:rPr>
                <w:i/>
                <w:sz w:val="24"/>
                <w:lang w:val="ky-KG"/>
              </w:rPr>
              <w:t xml:space="preserve"> процента , а в сравнении 20</w:t>
            </w:r>
            <w:r w:rsidRPr="00C44EE6">
              <w:rPr>
                <w:i/>
                <w:sz w:val="24"/>
              </w:rPr>
              <w:t>20</w:t>
            </w:r>
            <w:r w:rsidRPr="00C44EE6">
              <w:rPr>
                <w:i/>
                <w:sz w:val="24"/>
                <w:lang w:val="ky-KG"/>
              </w:rPr>
              <w:t xml:space="preserve"> г. – на </w:t>
            </w:r>
            <w:r w:rsidRPr="00C44EE6">
              <w:rPr>
                <w:i/>
                <w:sz w:val="24"/>
              </w:rPr>
              <w:t>7497</w:t>
            </w:r>
            <w:r w:rsidRPr="00C44EE6">
              <w:rPr>
                <w:i/>
                <w:sz w:val="24"/>
                <w:lang w:val="ky-KG"/>
              </w:rPr>
              <w:t xml:space="preserve"> голов, или на </w:t>
            </w:r>
            <w:r w:rsidRPr="00C44EE6">
              <w:rPr>
                <w:i/>
                <w:sz w:val="24"/>
              </w:rPr>
              <w:t>8</w:t>
            </w:r>
            <w:r w:rsidRPr="00C44EE6">
              <w:rPr>
                <w:i/>
                <w:sz w:val="24"/>
                <w:lang w:val="ky-KG"/>
              </w:rPr>
              <w:t>,</w:t>
            </w:r>
            <w:r w:rsidRPr="00C44EE6">
              <w:rPr>
                <w:i/>
                <w:sz w:val="24"/>
              </w:rPr>
              <w:t>9</w:t>
            </w:r>
            <w:r w:rsidRPr="00C44EE6">
              <w:rPr>
                <w:i/>
                <w:sz w:val="24"/>
                <w:lang w:val="ky-KG"/>
              </w:rPr>
              <w:t xml:space="preserve"> процента увеличилось. </w:t>
            </w:r>
          </w:p>
          <w:p w14:paraId="127FFE14" w14:textId="77777777" w:rsidR="006968EA" w:rsidRPr="00C44EE6" w:rsidRDefault="006968EA" w:rsidP="006968EA">
            <w:pPr>
              <w:jc w:val="both"/>
              <w:rPr>
                <w:i/>
                <w:sz w:val="24"/>
                <w:lang w:val="ky-KG"/>
              </w:rPr>
            </w:pPr>
            <w:r w:rsidRPr="00C44EE6">
              <w:rPr>
                <w:i/>
                <w:sz w:val="24"/>
                <w:lang w:val="ky-KG"/>
              </w:rPr>
              <w:t xml:space="preserve">       Поголовье домашней птицы по области на конец 202</w:t>
            </w:r>
            <w:r w:rsidRPr="00C44EE6">
              <w:rPr>
                <w:i/>
                <w:sz w:val="24"/>
              </w:rPr>
              <w:t>4</w:t>
            </w:r>
            <w:r w:rsidRPr="00C44EE6">
              <w:rPr>
                <w:i/>
                <w:sz w:val="24"/>
                <w:lang w:val="ky-KG"/>
              </w:rPr>
              <w:t xml:space="preserve"> г. составило </w:t>
            </w:r>
            <w:r w:rsidRPr="00C44EE6">
              <w:rPr>
                <w:i/>
                <w:sz w:val="24"/>
              </w:rPr>
              <w:t>1273281</w:t>
            </w:r>
            <w:r w:rsidRPr="00C44EE6">
              <w:rPr>
                <w:i/>
                <w:sz w:val="24"/>
                <w:lang w:val="ky-KG"/>
              </w:rPr>
              <w:t xml:space="preserve"> голов и по сравнению с 20</w:t>
            </w:r>
            <w:r w:rsidRPr="00C44EE6">
              <w:rPr>
                <w:i/>
                <w:sz w:val="24"/>
              </w:rPr>
              <w:t>23</w:t>
            </w:r>
            <w:r w:rsidRPr="00C44EE6">
              <w:rPr>
                <w:i/>
                <w:sz w:val="24"/>
                <w:lang w:val="ky-KG"/>
              </w:rPr>
              <w:t xml:space="preserve"> г. возросло на </w:t>
            </w:r>
            <w:r w:rsidRPr="00C44EE6">
              <w:rPr>
                <w:i/>
                <w:sz w:val="24"/>
              </w:rPr>
              <w:t xml:space="preserve">69572 </w:t>
            </w:r>
            <w:r w:rsidRPr="00C44EE6">
              <w:rPr>
                <w:i/>
                <w:sz w:val="24"/>
                <w:lang w:val="ky-KG"/>
              </w:rPr>
              <w:t xml:space="preserve">голов, или </w:t>
            </w:r>
            <w:r w:rsidRPr="00C44EE6">
              <w:rPr>
                <w:sz w:val="24"/>
              </w:rPr>
              <w:t xml:space="preserve">5.8 </w:t>
            </w:r>
            <w:r w:rsidRPr="00C44EE6">
              <w:rPr>
                <w:i/>
                <w:sz w:val="24"/>
                <w:lang w:val="ky-KG"/>
              </w:rPr>
              <w:t>процента, а в сравнении с 20</w:t>
            </w:r>
            <w:r w:rsidRPr="00C44EE6">
              <w:rPr>
                <w:i/>
                <w:sz w:val="24"/>
              </w:rPr>
              <w:t>20</w:t>
            </w:r>
            <w:r w:rsidRPr="00C44EE6">
              <w:rPr>
                <w:i/>
                <w:sz w:val="24"/>
                <w:lang w:val="ky-KG"/>
              </w:rPr>
              <w:t xml:space="preserve"> г.–на </w:t>
            </w:r>
            <w:r w:rsidRPr="00C44EE6">
              <w:rPr>
                <w:i/>
                <w:sz w:val="24"/>
              </w:rPr>
              <w:t xml:space="preserve">139914 </w:t>
            </w:r>
            <w:r w:rsidRPr="00C44EE6">
              <w:rPr>
                <w:i/>
                <w:sz w:val="24"/>
                <w:lang w:val="ky-KG"/>
              </w:rPr>
              <w:t xml:space="preserve">голов, или </w:t>
            </w:r>
            <w:r w:rsidRPr="00C44EE6">
              <w:rPr>
                <w:i/>
                <w:sz w:val="24"/>
              </w:rPr>
              <w:t>12</w:t>
            </w:r>
            <w:r w:rsidRPr="00C44EE6">
              <w:rPr>
                <w:sz w:val="24"/>
                <w:lang w:val="ky-KG"/>
              </w:rPr>
              <w:t>,</w:t>
            </w:r>
            <w:r w:rsidRPr="00C44EE6">
              <w:rPr>
                <w:sz w:val="24"/>
              </w:rPr>
              <w:t>3</w:t>
            </w:r>
            <w:r w:rsidRPr="00C44EE6">
              <w:rPr>
                <w:sz w:val="24"/>
                <w:lang w:val="ky-KG"/>
              </w:rPr>
              <w:t xml:space="preserve"> </w:t>
            </w:r>
            <w:r w:rsidRPr="00C44EE6">
              <w:rPr>
                <w:i/>
                <w:sz w:val="24"/>
                <w:lang w:val="ky-KG"/>
              </w:rPr>
              <w:t xml:space="preserve">процента.  </w:t>
            </w:r>
          </w:p>
          <w:p w14:paraId="5342FA64" w14:textId="77777777" w:rsidR="006968EA" w:rsidRPr="00C44EE6" w:rsidRDefault="006968EA" w:rsidP="006968EA">
            <w:pPr>
              <w:jc w:val="both"/>
              <w:rPr>
                <w:i/>
                <w:sz w:val="24"/>
                <w:lang w:val="ky-KG"/>
              </w:rPr>
            </w:pPr>
          </w:p>
          <w:p w14:paraId="4B8CB6DA" w14:textId="77777777" w:rsidR="006968EA" w:rsidRPr="00C44EE6" w:rsidRDefault="006968EA" w:rsidP="006968EA">
            <w:pPr>
              <w:jc w:val="both"/>
              <w:rPr>
                <w:i/>
                <w:sz w:val="24"/>
                <w:lang w:val="ky-KG"/>
              </w:rPr>
            </w:pPr>
          </w:p>
          <w:p w14:paraId="704FB1F1" w14:textId="77777777" w:rsidR="006968EA" w:rsidRPr="00C44EE6" w:rsidRDefault="006968EA" w:rsidP="006968EA">
            <w:pPr>
              <w:jc w:val="both"/>
              <w:rPr>
                <w:i/>
                <w:sz w:val="24"/>
                <w:lang w:val="ky-KG"/>
              </w:rPr>
            </w:pPr>
            <w:r w:rsidRPr="00C44EE6">
              <w:rPr>
                <w:i/>
                <w:sz w:val="24"/>
                <w:lang w:val="ky-KG"/>
              </w:rPr>
              <w:t xml:space="preserve"> В то же время поголовье свиней по сравнению с 20</w:t>
            </w:r>
            <w:r w:rsidRPr="00C44EE6">
              <w:rPr>
                <w:i/>
                <w:sz w:val="24"/>
              </w:rPr>
              <w:t>23</w:t>
            </w:r>
            <w:r w:rsidRPr="00C44EE6">
              <w:rPr>
                <w:i/>
                <w:sz w:val="24"/>
                <w:lang w:val="ky-KG"/>
              </w:rPr>
              <w:t xml:space="preserve"> г. уменшилось на 2</w:t>
            </w:r>
            <w:r w:rsidRPr="00C44EE6">
              <w:rPr>
                <w:i/>
                <w:sz w:val="24"/>
              </w:rPr>
              <w:t>5</w:t>
            </w:r>
            <w:r w:rsidRPr="00C44EE6">
              <w:rPr>
                <w:i/>
                <w:sz w:val="24"/>
                <w:lang w:val="ky-KG"/>
              </w:rPr>
              <w:t xml:space="preserve"> голов, или на 0,4 процента, а в сравнении с 2020 г. напротив, увеличилось на 10 голов, или 66,6 процента.</w:t>
            </w:r>
          </w:p>
          <w:p w14:paraId="67D6CEB4" w14:textId="6E389B2A" w:rsidR="006968EA" w:rsidRPr="00C44EE6" w:rsidRDefault="006968EA" w:rsidP="006968EA">
            <w:pPr>
              <w:jc w:val="both"/>
              <w:rPr>
                <w:i/>
                <w:sz w:val="24"/>
                <w:lang w:val="ky-KG"/>
              </w:rPr>
            </w:pPr>
          </w:p>
        </w:tc>
      </w:tr>
    </w:tbl>
    <w:p w14:paraId="368DD534" w14:textId="77777777" w:rsidR="008C3129" w:rsidRPr="00F82B0F" w:rsidRDefault="008C3129" w:rsidP="00903772">
      <w:pPr>
        <w:ind w:firstLine="767"/>
        <w:jc w:val="both"/>
        <w:rPr>
          <w:color w:val="FF0000"/>
          <w:sz w:val="24"/>
          <w:highlight w:val="yellow"/>
          <w:lang w:val="ky-KG"/>
        </w:rPr>
      </w:pPr>
    </w:p>
    <w:tbl>
      <w:tblPr>
        <w:tblW w:w="19404" w:type="dxa"/>
        <w:tblInd w:w="152" w:type="dxa"/>
        <w:tblCellMar>
          <w:left w:w="10" w:type="dxa"/>
          <w:right w:w="10" w:type="dxa"/>
        </w:tblCellMar>
        <w:tblLook w:val="0000" w:firstRow="0" w:lastRow="0" w:firstColumn="0" w:lastColumn="0" w:noHBand="0" w:noVBand="0"/>
      </w:tblPr>
      <w:tblGrid>
        <w:gridCol w:w="4851"/>
        <w:gridCol w:w="4851"/>
        <w:gridCol w:w="4851"/>
        <w:gridCol w:w="4851"/>
      </w:tblGrid>
      <w:tr w:rsidR="00F0634D" w14:paraId="49DBA2D7" w14:textId="77777777" w:rsidTr="00474A80">
        <w:trPr>
          <w:trHeight w:val="1185"/>
        </w:trPr>
        <w:tc>
          <w:tcPr>
            <w:tcW w:w="4851" w:type="dxa"/>
            <w:shd w:val="clear" w:color="000000" w:fill="FFFFFF"/>
          </w:tcPr>
          <w:p w14:paraId="6C5EE6B7" w14:textId="77777777" w:rsidR="00F0634D" w:rsidRPr="00C44EE6" w:rsidRDefault="00F0634D" w:rsidP="00F0634D">
            <w:pPr>
              <w:ind w:firstLine="767"/>
              <w:jc w:val="both"/>
              <w:rPr>
                <w:sz w:val="24"/>
                <w:lang w:val="ky-KG"/>
              </w:rPr>
            </w:pPr>
            <w:r w:rsidRPr="00C44EE6">
              <w:rPr>
                <w:b/>
                <w:sz w:val="24"/>
                <w:lang w:val="ky-KG"/>
              </w:rPr>
              <w:t xml:space="preserve">Автоунаа жана байланыш. </w:t>
            </w:r>
            <w:r w:rsidRPr="00C44EE6">
              <w:rPr>
                <w:sz w:val="24"/>
                <w:lang w:val="ky-KG"/>
              </w:rPr>
              <w:t xml:space="preserve"> </w:t>
            </w:r>
          </w:p>
          <w:p w14:paraId="7A38FB16" w14:textId="0FC5F883" w:rsidR="00F0634D" w:rsidRPr="00C44EE6" w:rsidRDefault="00F0634D" w:rsidP="00F0634D">
            <w:pPr>
              <w:ind w:firstLine="767"/>
              <w:jc w:val="both"/>
              <w:rPr>
                <w:lang w:val="ky-KG"/>
              </w:rPr>
            </w:pPr>
            <w:r w:rsidRPr="00C44EE6">
              <w:rPr>
                <w:sz w:val="24"/>
                <w:lang w:val="ky-KG"/>
              </w:rPr>
              <w:t>2020-2024-жылдардын ичинде автоунаа трансторту туруктуу иштеп, экономика менен калктын муктаждыктары үчүн  автоунаа менен ташылган жүк жана жүргүнчүлөрдү ташуу облус боюнча канаттандырарлык абалда болду.</w:t>
            </w:r>
          </w:p>
        </w:tc>
        <w:tc>
          <w:tcPr>
            <w:tcW w:w="4851" w:type="dxa"/>
            <w:shd w:val="clear" w:color="000000" w:fill="FFFFFF"/>
          </w:tcPr>
          <w:p w14:paraId="77057AF7" w14:textId="727FA605" w:rsidR="00F0634D" w:rsidRPr="00C44EE6" w:rsidRDefault="00F0634D" w:rsidP="00F0634D">
            <w:pPr>
              <w:ind w:firstLine="767"/>
              <w:jc w:val="both"/>
            </w:pPr>
            <w:r w:rsidRPr="00C44EE6">
              <w:rPr>
                <w:b/>
                <w:i/>
                <w:sz w:val="24"/>
              </w:rPr>
              <w:t xml:space="preserve">Транспорт и связь. </w:t>
            </w:r>
            <w:r w:rsidRPr="00C44EE6">
              <w:rPr>
                <w:i/>
                <w:sz w:val="24"/>
              </w:rPr>
              <w:t xml:space="preserve"> На протяжении 2020-2024 гг. автомобильный транспорт функционировал устойчиво и удовлетворял потребности экономики и населения области в перевозках грузов и пассажиров.</w:t>
            </w:r>
          </w:p>
        </w:tc>
        <w:tc>
          <w:tcPr>
            <w:tcW w:w="4851" w:type="dxa"/>
            <w:shd w:val="clear" w:color="000000" w:fill="FFFFFF"/>
          </w:tcPr>
          <w:p w14:paraId="284B5F3A" w14:textId="77777777" w:rsidR="00F0634D" w:rsidRPr="00594384" w:rsidRDefault="00F0634D" w:rsidP="00F0634D">
            <w:pPr>
              <w:ind w:firstLine="767"/>
              <w:jc w:val="both"/>
              <w:rPr>
                <w:lang w:val="ky-KG"/>
              </w:rPr>
            </w:pPr>
          </w:p>
        </w:tc>
        <w:tc>
          <w:tcPr>
            <w:tcW w:w="4851" w:type="dxa"/>
            <w:shd w:val="clear" w:color="000000" w:fill="FFFFFF"/>
          </w:tcPr>
          <w:p w14:paraId="6E90F388" w14:textId="77777777" w:rsidR="00F0634D" w:rsidRDefault="00F0634D" w:rsidP="00F0634D">
            <w:pPr>
              <w:ind w:firstLine="767"/>
              <w:jc w:val="both"/>
            </w:pPr>
          </w:p>
        </w:tc>
      </w:tr>
      <w:tr w:rsidR="00F0634D" w14:paraId="0A112C5F" w14:textId="77777777" w:rsidTr="00474A80">
        <w:trPr>
          <w:trHeight w:val="1"/>
        </w:trPr>
        <w:tc>
          <w:tcPr>
            <w:tcW w:w="4851" w:type="dxa"/>
            <w:shd w:val="clear" w:color="000000" w:fill="FFFFFF"/>
          </w:tcPr>
          <w:p w14:paraId="0A02E475" w14:textId="57F65430" w:rsidR="00F0634D" w:rsidRPr="00C44EE6" w:rsidRDefault="00F0634D" w:rsidP="00F0634D">
            <w:pPr>
              <w:ind w:firstLine="767"/>
              <w:jc w:val="both"/>
            </w:pPr>
            <w:r w:rsidRPr="00C44EE6">
              <w:rPr>
                <w:sz w:val="24"/>
              </w:rPr>
              <w:t xml:space="preserve">2024-жылы </w:t>
            </w:r>
            <w:proofErr w:type="spellStart"/>
            <w:r w:rsidRPr="00C44EE6">
              <w:rPr>
                <w:sz w:val="24"/>
              </w:rPr>
              <w:t>автоунаа</w:t>
            </w:r>
            <w:proofErr w:type="spellEnd"/>
            <w:r w:rsidRPr="00C44EE6">
              <w:rPr>
                <w:sz w:val="24"/>
              </w:rPr>
              <w:t xml:space="preserve"> </w:t>
            </w:r>
            <w:proofErr w:type="spellStart"/>
            <w:r w:rsidRPr="00C44EE6">
              <w:rPr>
                <w:sz w:val="24"/>
              </w:rPr>
              <w:t>менен</w:t>
            </w:r>
            <w:proofErr w:type="spellEnd"/>
            <w:r w:rsidRPr="00C44EE6">
              <w:rPr>
                <w:sz w:val="24"/>
              </w:rPr>
              <w:t xml:space="preserve"> </w:t>
            </w:r>
            <w:proofErr w:type="spellStart"/>
            <w:r w:rsidRPr="00C44EE6">
              <w:rPr>
                <w:sz w:val="24"/>
              </w:rPr>
              <w:t>ташылган</w:t>
            </w:r>
            <w:proofErr w:type="spellEnd"/>
            <w:r w:rsidRPr="00C44EE6">
              <w:rPr>
                <w:sz w:val="24"/>
              </w:rPr>
              <w:t xml:space="preserve"> </w:t>
            </w:r>
            <w:proofErr w:type="spellStart"/>
            <w:r w:rsidRPr="00C44EE6">
              <w:rPr>
                <w:sz w:val="24"/>
              </w:rPr>
              <w:t>жүк</w:t>
            </w:r>
            <w:proofErr w:type="spellEnd"/>
            <w:r w:rsidRPr="00C44EE6">
              <w:rPr>
                <w:sz w:val="24"/>
              </w:rPr>
              <w:t xml:space="preserve"> 3307,1 </w:t>
            </w:r>
            <w:proofErr w:type="spellStart"/>
            <w:r w:rsidRPr="00C44EE6">
              <w:rPr>
                <w:sz w:val="24"/>
              </w:rPr>
              <w:t>миң</w:t>
            </w:r>
            <w:proofErr w:type="spellEnd"/>
            <w:r w:rsidRPr="00C44EE6">
              <w:rPr>
                <w:sz w:val="24"/>
              </w:rPr>
              <w:t xml:space="preserve"> </w:t>
            </w:r>
            <w:proofErr w:type="spellStart"/>
            <w:r w:rsidRPr="00C44EE6">
              <w:rPr>
                <w:sz w:val="24"/>
              </w:rPr>
              <w:t>тоннаны</w:t>
            </w:r>
            <w:proofErr w:type="spellEnd"/>
            <w:r w:rsidRPr="00C44EE6">
              <w:rPr>
                <w:sz w:val="24"/>
              </w:rPr>
              <w:t xml:space="preserve"> </w:t>
            </w:r>
            <w:proofErr w:type="spellStart"/>
            <w:proofErr w:type="gramStart"/>
            <w:r w:rsidRPr="00C44EE6">
              <w:rPr>
                <w:sz w:val="24"/>
              </w:rPr>
              <w:t>түзүп</w:t>
            </w:r>
            <w:proofErr w:type="spellEnd"/>
            <w:r w:rsidRPr="00C44EE6">
              <w:rPr>
                <w:sz w:val="24"/>
              </w:rPr>
              <w:t xml:space="preserve">,  </w:t>
            </w:r>
            <w:proofErr w:type="spellStart"/>
            <w:r w:rsidRPr="00C44EE6">
              <w:rPr>
                <w:sz w:val="24"/>
              </w:rPr>
              <w:t>өткөн</w:t>
            </w:r>
            <w:proofErr w:type="spellEnd"/>
            <w:proofErr w:type="gramEnd"/>
            <w:r w:rsidRPr="00C44EE6">
              <w:rPr>
                <w:sz w:val="24"/>
              </w:rPr>
              <w:t xml:space="preserve"> </w:t>
            </w:r>
            <w:proofErr w:type="spellStart"/>
            <w:r w:rsidRPr="00C44EE6">
              <w:rPr>
                <w:sz w:val="24"/>
              </w:rPr>
              <w:t>жылдын</w:t>
            </w:r>
            <w:proofErr w:type="spellEnd"/>
            <w:r w:rsidRPr="00C44EE6">
              <w:rPr>
                <w:sz w:val="24"/>
              </w:rPr>
              <w:t xml:space="preserve"> </w:t>
            </w:r>
            <w:proofErr w:type="spellStart"/>
            <w:r w:rsidRPr="00C44EE6">
              <w:rPr>
                <w:sz w:val="24"/>
              </w:rPr>
              <w:t>ушул</w:t>
            </w:r>
            <w:proofErr w:type="spellEnd"/>
            <w:r w:rsidRPr="00C44EE6">
              <w:rPr>
                <w:sz w:val="24"/>
              </w:rPr>
              <w:t xml:space="preserve"> эле </w:t>
            </w:r>
            <w:proofErr w:type="spellStart"/>
            <w:r w:rsidRPr="00C44EE6">
              <w:rPr>
                <w:sz w:val="24"/>
              </w:rPr>
              <w:t>мезгилине</w:t>
            </w:r>
            <w:proofErr w:type="spellEnd"/>
            <w:r w:rsidRPr="00C44EE6">
              <w:rPr>
                <w:sz w:val="24"/>
              </w:rPr>
              <w:t xml:space="preserve"> </w:t>
            </w:r>
            <w:proofErr w:type="spellStart"/>
            <w:r w:rsidRPr="00C44EE6">
              <w:rPr>
                <w:sz w:val="24"/>
              </w:rPr>
              <w:t>салыштырмалуу</w:t>
            </w:r>
            <w:proofErr w:type="spellEnd"/>
            <w:r w:rsidRPr="00C44EE6">
              <w:rPr>
                <w:sz w:val="24"/>
              </w:rPr>
              <w:t xml:space="preserve"> 9</w:t>
            </w:r>
            <w:r w:rsidRPr="00C44EE6">
              <w:rPr>
                <w:sz w:val="24"/>
                <w:lang w:val="ky-KG"/>
              </w:rPr>
              <w:t>,1</w:t>
            </w:r>
            <w:r w:rsidRPr="00C44EE6">
              <w:rPr>
                <w:sz w:val="24"/>
              </w:rPr>
              <w:t xml:space="preserve"> </w:t>
            </w:r>
            <w:proofErr w:type="spellStart"/>
            <w:r w:rsidRPr="00C44EE6">
              <w:rPr>
                <w:sz w:val="24"/>
              </w:rPr>
              <w:t>пайызга</w:t>
            </w:r>
            <w:proofErr w:type="spellEnd"/>
            <w:r w:rsidRPr="00C44EE6">
              <w:rPr>
                <w:sz w:val="24"/>
              </w:rPr>
              <w:t xml:space="preserve"> </w:t>
            </w:r>
            <w:r w:rsidRPr="00C44EE6">
              <w:rPr>
                <w:sz w:val="24"/>
                <w:lang w:val="ky-KG"/>
              </w:rPr>
              <w:t>көбөйдү</w:t>
            </w:r>
            <w:r w:rsidRPr="00C44EE6">
              <w:rPr>
                <w:sz w:val="24"/>
              </w:rPr>
              <w:t>. (</w:t>
            </w:r>
            <w:proofErr w:type="spellStart"/>
            <w:r w:rsidRPr="00C44EE6">
              <w:rPr>
                <w:sz w:val="24"/>
              </w:rPr>
              <w:t>мекемелик</w:t>
            </w:r>
            <w:proofErr w:type="spellEnd"/>
            <w:r w:rsidRPr="00C44EE6">
              <w:rPr>
                <w:sz w:val="24"/>
              </w:rPr>
              <w:t xml:space="preserve"> </w:t>
            </w:r>
            <w:proofErr w:type="spellStart"/>
            <w:r w:rsidRPr="00C44EE6">
              <w:rPr>
                <w:sz w:val="24"/>
              </w:rPr>
              <w:t>унаалар</w:t>
            </w:r>
            <w:proofErr w:type="spellEnd"/>
            <w:r w:rsidRPr="00C44EE6">
              <w:rPr>
                <w:sz w:val="24"/>
              </w:rPr>
              <w:t xml:space="preserve"> </w:t>
            </w:r>
            <w:proofErr w:type="spellStart"/>
            <w:r w:rsidRPr="00C44EE6">
              <w:rPr>
                <w:sz w:val="24"/>
              </w:rPr>
              <w:t>камтылган</w:t>
            </w:r>
            <w:proofErr w:type="spellEnd"/>
            <w:r w:rsidRPr="00C44EE6">
              <w:rPr>
                <w:sz w:val="24"/>
              </w:rPr>
              <w:t>). (</w:t>
            </w:r>
            <w:proofErr w:type="spellStart"/>
            <w:r w:rsidRPr="00C44EE6">
              <w:rPr>
                <w:sz w:val="24"/>
              </w:rPr>
              <w:t>Тиркемелер</w:t>
            </w:r>
            <w:proofErr w:type="spellEnd"/>
            <w:r w:rsidRPr="00C44EE6">
              <w:rPr>
                <w:sz w:val="24"/>
              </w:rPr>
              <w:t xml:space="preserve"> таблица 7.1-7.2)</w:t>
            </w:r>
          </w:p>
        </w:tc>
        <w:tc>
          <w:tcPr>
            <w:tcW w:w="4851" w:type="dxa"/>
            <w:shd w:val="clear" w:color="000000" w:fill="FFFFFF"/>
          </w:tcPr>
          <w:p w14:paraId="2C030185" w14:textId="764853AA" w:rsidR="00F0634D" w:rsidRPr="00C44EE6" w:rsidRDefault="00F0634D" w:rsidP="00F0634D">
            <w:pPr>
              <w:ind w:firstLine="767"/>
              <w:jc w:val="both"/>
            </w:pPr>
            <w:r w:rsidRPr="00C44EE6">
              <w:rPr>
                <w:i/>
                <w:sz w:val="24"/>
              </w:rPr>
              <w:t xml:space="preserve">В 2024 году объем перевезенных грузов автомобильным транспортом </w:t>
            </w:r>
            <w:r w:rsidRPr="00C44EE6">
              <w:rPr>
                <w:i/>
                <w:sz w:val="24"/>
                <w:lang w:val="ky-KG"/>
              </w:rPr>
              <w:t>увеличился</w:t>
            </w:r>
            <w:r w:rsidRPr="00C44EE6">
              <w:rPr>
                <w:i/>
                <w:sz w:val="24"/>
              </w:rPr>
              <w:t xml:space="preserve"> по сравнению с прошлым годом на 9,1 процента и составил 3307,1 тыс. тонн (включены ведомственные автомашины</w:t>
            </w:r>
            <w:proofErr w:type="gramStart"/>
            <w:r w:rsidRPr="00C44EE6">
              <w:rPr>
                <w:i/>
                <w:sz w:val="24"/>
              </w:rPr>
              <w:t>).(</w:t>
            </w:r>
            <w:proofErr w:type="spellStart"/>
            <w:r w:rsidRPr="00C44EE6">
              <w:rPr>
                <w:i/>
                <w:sz w:val="24"/>
              </w:rPr>
              <w:t>Приложение:таблица</w:t>
            </w:r>
            <w:proofErr w:type="spellEnd"/>
            <w:proofErr w:type="gramEnd"/>
            <w:r w:rsidRPr="00C44EE6">
              <w:rPr>
                <w:i/>
                <w:sz w:val="24"/>
              </w:rPr>
              <w:t xml:space="preserve"> 7.1-7.2)</w:t>
            </w:r>
          </w:p>
        </w:tc>
        <w:tc>
          <w:tcPr>
            <w:tcW w:w="4851" w:type="dxa"/>
            <w:shd w:val="clear" w:color="000000" w:fill="FFFFFF"/>
          </w:tcPr>
          <w:p w14:paraId="0A5E1AD2" w14:textId="77777777" w:rsidR="00F0634D" w:rsidRDefault="00F0634D" w:rsidP="00F0634D">
            <w:pPr>
              <w:ind w:firstLine="767"/>
              <w:jc w:val="both"/>
            </w:pPr>
          </w:p>
        </w:tc>
        <w:tc>
          <w:tcPr>
            <w:tcW w:w="4851" w:type="dxa"/>
            <w:shd w:val="clear" w:color="000000" w:fill="FFFFFF"/>
          </w:tcPr>
          <w:p w14:paraId="5737930D" w14:textId="77777777" w:rsidR="00F0634D" w:rsidRDefault="00F0634D" w:rsidP="00F0634D">
            <w:pPr>
              <w:ind w:firstLine="767"/>
              <w:jc w:val="both"/>
            </w:pPr>
          </w:p>
        </w:tc>
      </w:tr>
      <w:tr w:rsidR="00F0634D" w14:paraId="46AD5A60" w14:textId="77777777" w:rsidTr="00474A80">
        <w:trPr>
          <w:trHeight w:val="1"/>
        </w:trPr>
        <w:tc>
          <w:tcPr>
            <w:tcW w:w="4851" w:type="dxa"/>
            <w:shd w:val="clear" w:color="000000" w:fill="FFFFFF"/>
          </w:tcPr>
          <w:p w14:paraId="4FDFF966" w14:textId="09AB88E5" w:rsidR="00F0634D" w:rsidRPr="00C44EE6" w:rsidRDefault="00F0634D" w:rsidP="00F0634D">
            <w:pPr>
              <w:ind w:firstLine="767"/>
              <w:jc w:val="both"/>
            </w:pPr>
            <w:r w:rsidRPr="00C44EE6">
              <w:rPr>
                <w:sz w:val="24"/>
              </w:rPr>
              <w:t>2024-</w:t>
            </w:r>
            <w:proofErr w:type="gramStart"/>
            <w:r w:rsidRPr="00C44EE6">
              <w:rPr>
                <w:sz w:val="24"/>
              </w:rPr>
              <w:t xml:space="preserve">жылы </w:t>
            </w:r>
            <w:r w:rsidRPr="00C44EE6">
              <w:rPr>
                <w:sz w:val="24"/>
                <w:lang w:val="ky-KG"/>
              </w:rPr>
              <w:t xml:space="preserve"> ЖИ</w:t>
            </w:r>
            <w:proofErr w:type="gramEnd"/>
            <w:r w:rsidRPr="00C44EE6">
              <w:rPr>
                <w:sz w:val="24"/>
                <w:lang w:val="ky-KG"/>
              </w:rPr>
              <w:t xml:space="preserve"> </w:t>
            </w:r>
            <w:proofErr w:type="spellStart"/>
            <w:r w:rsidRPr="00C44EE6">
              <w:rPr>
                <w:sz w:val="24"/>
              </w:rPr>
              <w:t>автоунаа</w:t>
            </w:r>
            <w:proofErr w:type="spellEnd"/>
            <w:r w:rsidRPr="00C44EE6">
              <w:rPr>
                <w:sz w:val="24"/>
              </w:rPr>
              <w:t xml:space="preserve"> </w:t>
            </w:r>
            <w:proofErr w:type="spellStart"/>
            <w:r w:rsidRPr="00C44EE6">
              <w:rPr>
                <w:sz w:val="24"/>
              </w:rPr>
              <w:t>менен</w:t>
            </w:r>
            <w:proofErr w:type="spellEnd"/>
            <w:r w:rsidRPr="00C44EE6">
              <w:rPr>
                <w:sz w:val="24"/>
              </w:rPr>
              <w:t xml:space="preserve"> </w:t>
            </w:r>
            <w:proofErr w:type="spellStart"/>
            <w:r w:rsidRPr="00C44EE6">
              <w:rPr>
                <w:sz w:val="24"/>
              </w:rPr>
              <w:t>ташылган</w:t>
            </w:r>
            <w:proofErr w:type="spellEnd"/>
            <w:r w:rsidRPr="00C44EE6">
              <w:rPr>
                <w:sz w:val="24"/>
              </w:rPr>
              <w:t xml:space="preserve"> </w:t>
            </w:r>
            <w:proofErr w:type="spellStart"/>
            <w:r w:rsidRPr="00C44EE6">
              <w:rPr>
                <w:sz w:val="24"/>
              </w:rPr>
              <w:t>жүк</w:t>
            </w:r>
            <w:proofErr w:type="spellEnd"/>
            <w:r w:rsidRPr="00C44EE6">
              <w:rPr>
                <w:sz w:val="24"/>
              </w:rPr>
              <w:t xml:space="preserve"> 2020-жылга </w:t>
            </w:r>
            <w:proofErr w:type="spellStart"/>
            <w:r w:rsidRPr="00C44EE6">
              <w:rPr>
                <w:sz w:val="24"/>
              </w:rPr>
              <w:t>салыштырмалуу</w:t>
            </w:r>
            <w:proofErr w:type="spellEnd"/>
            <w:r w:rsidRPr="00C44EE6">
              <w:rPr>
                <w:sz w:val="24"/>
              </w:rPr>
              <w:t xml:space="preserve"> </w:t>
            </w:r>
            <w:r w:rsidRPr="00C44EE6">
              <w:rPr>
                <w:sz w:val="24"/>
                <w:lang w:val="ky-KG"/>
              </w:rPr>
              <w:t>3,</w:t>
            </w:r>
            <w:r w:rsidRPr="00C44EE6">
              <w:rPr>
                <w:sz w:val="24"/>
              </w:rPr>
              <w:t xml:space="preserve">8 </w:t>
            </w:r>
            <w:proofErr w:type="spellStart"/>
            <w:r w:rsidRPr="00C44EE6">
              <w:rPr>
                <w:sz w:val="24"/>
              </w:rPr>
              <w:t>пайызга</w:t>
            </w:r>
            <w:proofErr w:type="spellEnd"/>
            <w:r w:rsidRPr="00C44EE6">
              <w:rPr>
                <w:sz w:val="24"/>
              </w:rPr>
              <w:t xml:space="preserve">, же 72,3 </w:t>
            </w:r>
            <w:proofErr w:type="spellStart"/>
            <w:r w:rsidRPr="00C44EE6">
              <w:rPr>
                <w:sz w:val="24"/>
              </w:rPr>
              <w:t>миң</w:t>
            </w:r>
            <w:proofErr w:type="spellEnd"/>
            <w:r w:rsidRPr="00C44EE6">
              <w:rPr>
                <w:sz w:val="24"/>
              </w:rPr>
              <w:t xml:space="preserve"> т</w:t>
            </w:r>
            <w:r w:rsidRPr="00C44EE6">
              <w:rPr>
                <w:sz w:val="24"/>
                <w:lang w:val="ky-KG"/>
              </w:rPr>
              <w:t>о</w:t>
            </w:r>
            <w:proofErr w:type="spellStart"/>
            <w:r w:rsidRPr="00C44EE6">
              <w:rPr>
                <w:sz w:val="24"/>
              </w:rPr>
              <w:t>ннага</w:t>
            </w:r>
            <w:proofErr w:type="spellEnd"/>
            <w:r w:rsidRPr="00C44EE6">
              <w:rPr>
                <w:sz w:val="24"/>
              </w:rPr>
              <w:t xml:space="preserve"> </w:t>
            </w:r>
            <w:proofErr w:type="spellStart"/>
            <w:r w:rsidRPr="00C44EE6">
              <w:rPr>
                <w:sz w:val="24"/>
              </w:rPr>
              <w:t>өскөн</w:t>
            </w:r>
            <w:proofErr w:type="spellEnd"/>
            <w:r w:rsidRPr="00C44EE6">
              <w:rPr>
                <w:sz w:val="24"/>
              </w:rPr>
              <w:t xml:space="preserve">. </w:t>
            </w:r>
          </w:p>
        </w:tc>
        <w:tc>
          <w:tcPr>
            <w:tcW w:w="4851" w:type="dxa"/>
            <w:shd w:val="clear" w:color="000000" w:fill="FFFFFF"/>
          </w:tcPr>
          <w:p w14:paraId="5E6FA36E" w14:textId="5B691AC5" w:rsidR="00F0634D" w:rsidRPr="00C44EE6" w:rsidRDefault="00F0634D" w:rsidP="00F0634D">
            <w:pPr>
              <w:ind w:firstLine="767"/>
              <w:jc w:val="both"/>
            </w:pPr>
            <w:r w:rsidRPr="00C44EE6">
              <w:rPr>
                <w:i/>
                <w:sz w:val="24"/>
              </w:rPr>
              <w:t>В 2024 году по сравнению с 2020 годом объем перевозок</w:t>
            </w:r>
            <w:r w:rsidRPr="00C44EE6">
              <w:rPr>
                <w:i/>
                <w:sz w:val="24"/>
                <w:lang w:val="ky-KG"/>
              </w:rPr>
              <w:t xml:space="preserve"> </w:t>
            </w:r>
            <w:r w:rsidRPr="00C44EE6">
              <w:rPr>
                <w:i/>
                <w:sz w:val="24"/>
              </w:rPr>
              <w:t>грузов автомобильным транспортом</w:t>
            </w:r>
            <w:r w:rsidRPr="00C44EE6">
              <w:rPr>
                <w:i/>
                <w:sz w:val="24"/>
                <w:lang w:val="ky-KG"/>
              </w:rPr>
              <w:t xml:space="preserve"> ИП</w:t>
            </w:r>
            <w:r w:rsidRPr="00C44EE6">
              <w:rPr>
                <w:i/>
                <w:sz w:val="24"/>
              </w:rPr>
              <w:t xml:space="preserve"> повысился на </w:t>
            </w:r>
            <w:r w:rsidRPr="00C44EE6">
              <w:rPr>
                <w:i/>
                <w:sz w:val="24"/>
                <w:lang w:val="ky-KG"/>
              </w:rPr>
              <w:t>3,</w:t>
            </w:r>
            <w:r w:rsidRPr="00C44EE6">
              <w:rPr>
                <w:i/>
                <w:sz w:val="24"/>
              </w:rPr>
              <w:t>8 процента, или на 72,3 тыс. тонн.</w:t>
            </w:r>
          </w:p>
        </w:tc>
        <w:tc>
          <w:tcPr>
            <w:tcW w:w="4851" w:type="dxa"/>
            <w:shd w:val="clear" w:color="000000" w:fill="FFFFFF"/>
          </w:tcPr>
          <w:p w14:paraId="7BDDA9F2" w14:textId="77777777" w:rsidR="00F0634D" w:rsidRDefault="00F0634D" w:rsidP="00F0634D">
            <w:pPr>
              <w:ind w:firstLine="767"/>
              <w:jc w:val="both"/>
            </w:pPr>
          </w:p>
        </w:tc>
        <w:tc>
          <w:tcPr>
            <w:tcW w:w="4851" w:type="dxa"/>
            <w:shd w:val="clear" w:color="000000" w:fill="FFFFFF"/>
          </w:tcPr>
          <w:p w14:paraId="01CD93D7" w14:textId="77777777" w:rsidR="00F0634D" w:rsidRDefault="00F0634D" w:rsidP="00F0634D">
            <w:pPr>
              <w:ind w:firstLine="767"/>
              <w:jc w:val="both"/>
            </w:pPr>
          </w:p>
        </w:tc>
      </w:tr>
      <w:tr w:rsidR="00F0634D" w14:paraId="68CC3177" w14:textId="77777777" w:rsidTr="00474A80">
        <w:trPr>
          <w:trHeight w:val="1"/>
        </w:trPr>
        <w:tc>
          <w:tcPr>
            <w:tcW w:w="4851" w:type="dxa"/>
            <w:shd w:val="clear" w:color="000000" w:fill="FFFFFF"/>
          </w:tcPr>
          <w:p w14:paraId="0370E25B" w14:textId="2C0AA9B6" w:rsidR="00F0634D" w:rsidRPr="00C44EE6" w:rsidRDefault="00F0634D" w:rsidP="00F0634D">
            <w:pPr>
              <w:ind w:firstLine="767"/>
              <w:jc w:val="both"/>
            </w:pPr>
            <w:r w:rsidRPr="00C44EE6">
              <w:rPr>
                <w:sz w:val="24"/>
              </w:rPr>
              <w:t>202</w:t>
            </w:r>
            <w:r w:rsidRPr="00C44EE6">
              <w:rPr>
                <w:sz w:val="24"/>
                <w:lang w:val="ky-KG"/>
              </w:rPr>
              <w:t>4</w:t>
            </w:r>
            <w:r w:rsidRPr="00C44EE6">
              <w:rPr>
                <w:sz w:val="24"/>
              </w:rPr>
              <w:t>-</w:t>
            </w:r>
            <w:proofErr w:type="spellStart"/>
            <w:r w:rsidRPr="00C44EE6">
              <w:rPr>
                <w:sz w:val="24"/>
              </w:rPr>
              <w:t>жылы</w:t>
            </w:r>
            <w:proofErr w:type="spellEnd"/>
            <w:r w:rsidRPr="00C44EE6">
              <w:rPr>
                <w:sz w:val="24"/>
              </w:rPr>
              <w:t xml:space="preserve"> </w:t>
            </w:r>
            <w:proofErr w:type="spellStart"/>
            <w:r w:rsidRPr="00C44EE6">
              <w:rPr>
                <w:sz w:val="24"/>
              </w:rPr>
              <w:t>жүк</w:t>
            </w:r>
            <w:proofErr w:type="spellEnd"/>
            <w:r w:rsidRPr="00C44EE6">
              <w:rPr>
                <w:sz w:val="24"/>
              </w:rPr>
              <w:t xml:space="preserve"> </w:t>
            </w:r>
            <w:proofErr w:type="spellStart"/>
            <w:r w:rsidRPr="00C44EE6">
              <w:rPr>
                <w:sz w:val="24"/>
              </w:rPr>
              <w:t>ташууну</w:t>
            </w:r>
            <w:proofErr w:type="spellEnd"/>
            <w:r w:rsidRPr="00C44EE6">
              <w:rPr>
                <w:sz w:val="24"/>
              </w:rPr>
              <w:t xml:space="preserve"> </w:t>
            </w:r>
            <w:proofErr w:type="spellStart"/>
            <w:r w:rsidRPr="00C44EE6">
              <w:rPr>
                <w:sz w:val="24"/>
              </w:rPr>
              <w:t>жүгүртүү</w:t>
            </w:r>
            <w:proofErr w:type="spellEnd"/>
            <w:r w:rsidRPr="00C44EE6">
              <w:rPr>
                <w:sz w:val="24"/>
              </w:rPr>
              <w:t xml:space="preserve"> (</w:t>
            </w:r>
            <w:proofErr w:type="spellStart"/>
            <w:r w:rsidRPr="00C44EE6">
              <w:rPr>
                <w:sz w:val="24"/>
              </w:rPr>
              <w:t>мекемелик</w:t>
            </w:r>
            <w:proofErr w:type="spellEnd"/>
            <w:r w:rsidRPr="00C44EE6">
              <w:rPr>
                <w:sz w:val="24"/>
              </w:rPr>
              <w:t xml:space="preserve"> </w:t>
            </w:r>
            <w:proofErr w:type="spellStart"/>
            <w:r w:rsidRPr="00C44EE6">
              <w:rPr>
                <w:sz w:val="24"/>
              </w:rPr>
              <w:t>унаалар</w:t>
            </w:r>
            <w:proofErr w:type="spellEnd"/>
            <w:r w:rsidRPr="00C44EE6">
              <w:rPr>
                <w:sz w:val="24"/>
              </w:rPr>
              <w:t xml:space="preserve"> </w:t>
            </w:r>
            <w:proofErr w:type="spellStart"/>
            <w:r w:rsidRPr="00C44EE6">
              <w:rPr>
                <w:sz w:val="24"/>
              </w:rPr>
              <w:t>камтылган</w:t>
            </w:r>
            <w:proofErr w:type="spellEnd"/>
            <w:r w:rsidRPr="00C44EE6">
              <w:rPr>
                <w:sz w:val="24"/>
              </w:rPr>
              <w:t xml:space="preserve">) </w:t>
            </w:r>
            <w:r w:rsidRPr="00C44EE6">
              <w:rPr>
                <w:sz w:val="24"/>
                <w:lang w:val="ky-KG"/>
              </w:rPr>
              <w:t>178,</w:t>
            </w:r>
            <w:proofErr w:type="gramStart"/>
            <w:r w:rsidRPr="00C44EE6">
              <w:rPr>
                <w:sz w:val="24"/>
                <w:lang w:val="ky-KG"/>
              </w:rPr>
              <w:t>2</w:t>
            </w:r>
            <w:r w:rsidRPr="00C44EE6">
              <w:rPr>
                <w:sz w:val="24"/>
              </w:rPr>
              <w:t xml:space="preserve">  млн.</w:t>
            </w:r>
            <w:proofErr w:type="gramEnd"/>
            <w:r w:rsidRPr="00C44EE6">
              <w:rPr>
                <w:sz w:val="24"/>
              </w:rPr>
              <w:t xml:space="preserve"> тонна-</w:t>
            </w:r>
            <w:proofErr w:type="spellStart"/>
            <w:r w:rsidRPr="00C44EE6">
              <w:rPr>
                <w:sz w:val="24"/>
              </w:rPr>
              <w:t>километрди</w:t>
            </w:r>
            <w:proofErr w:type="spellEnd"/>
            <w:r w:rsidRPr="00C44EE6">
              <w:rPr>
                <w:sz w:val="24"/>
              </w:rPr>
              <w:t xml:space="preserve"> </w:t>
            </w:r>
            <w:proofErr w:type="spellStart"/>
            <w:proofErr w:type="gramStart"/>
            <w:r w:rsidRPr="00C44EE6">
              <w:rPr>
                <w:sz w:val="24"/>
              </w:rPr>
              <w:t>түзүп</w:t>
            </w:r>
            <w:proofErr w:type="spellEnd"/>
            <w:r w:rsidRPr="00C44EE6">
              <w:rPr>
                <w:sz w:val="24"/>
              </w:rPr>
              <w:t xml:space="preserve">,  </w:t>
            </w:r>
            <w:proofErr w:type="spellStart"/>
            <w:r w:rsidRPr="00C44EE6">
              <w:rPr>
                <w:sz w:val="24"/>
              </w:rPr>
              <w:t>өткөн</w:t>
            </w:r>
            <w:proofErr w:type="spellEnd"/>
            <w:proofErr w:type="gramEnd"/>
            <w:r w:rsidRPr="00C44EE6">
              <w:rPr>
                <w:sz w:val="24"/>
              </w:rPr>
              <w:t xml:space="preserve"> </w:t>
            </w:r>
            <w:proofErr w:type="spellStart"/>
            <w:r w:rsidRPr="00C44EE6">
              <w:rPr>
                <w:sz w:val="24"/>
              </w:rPr>
              <w:t>жылдын</w:t>
            </w:r>
            <w:proofErr w:type="spellEnd"/>
            <w:r w:rsidRPr="00C44EE6">
              <w:rPr>
                <w:sz w:val="24"/>
              </w:rPr>
              <w:t xml:space="preserve"> </w:t>
            </w:r>
            <w:proofErr w:type="spellStart"/>
            <w:r w:rsidRPr="00C44EE6">
              <w:rPr>
                <w:sz w:val="24"/>
              </w:rPr>
              <w:t>ушул</w:t>
            </w:r>
            <w:proofErr w:type="spellEnd"/>
            <w:r w:rsidRPr="00C44EE6">
              <w:rPr>
                <w:sz w:val="24"/>
              </w:rPr>
              <w:t xml:space="preserve"> эле </w:t>
            </w:r>
            <w:proofErr w:type="spellStart"/>
            <w:r w:rsidRPr="00C44EE6">
              <w:rPr>
                <w:sz w:val="24"/>
              </w:rPr>
              <w:t>мезгилине</w:t>
            </w:r>
            <w:proofErr w:type="spellEnd"/>
            <w:r w:rsidRPr="00C44EE6">
              <w:rPr>
                <w:sz w:val="24"/>
              </w:rPr>
              <w:t xml:space="preserve"> </w:t>
            </w:r>
            <w:proofErr w:type="spellStart"/>
            <w:r w:rsidRPr="00C44EE6">
              <w:rPr>
                <w:sz w:val="24"/>
              </w:rPr>
              <w:t>салыштырмалуу</w:t>
            </w:r>
            <w:proofErr w:type="spellEnd"/>
            <w:r w:rsidRPr="00C44EE6">
              <w:rPr>
                <w:sz w:val="24"/>
              </w:rPr>
              <w:t xml:space="preserve"> </w:t>
            </w:r>
            <w:r w:rsidRPr="00C44EE6">
              <w:rPr>
                <w:sz w:val="24"/>
                <w:lang w:val="ky-KG"/>
              </w:rPr>
              <w:t>7,4</w:t>
            </w:r>
            <w:r w:rsidRPr="00C44EE6">
              <w:rPr>
                <w:sz w:val="24"/>
              </w:rPr>
              <w:t xml:space="preserve"> </w:t>
            </w:r>
            <w:proofErr w:type="spellStart"/>
            <w:r w:rsidRPr="00C44EE6">
              <w:rPr>
                <w:sz w:val="24"/>
              </w:rPr>
              <w:t>пайызга</w:t>
            </w:r>
            <w:proofErr w:type="spellEnd"/>
            <w:r w:rsidRPr="00C44EE6">
              <w:rPr>
                <w:sz w:val="24"/>
              </w:rPr>
              <w:t xml:space="preserve"> </w:t>
            </w:r>
            <w:r w:rsidRPr="00C44EE6">
              <w:rPr>
                <w:sz w:val="24"/>
                <w:lang w:val="ky-KG"/>
              </w:rPr>
              <w:t>көбөйгөн</w:t>
            </w:r>
            <w:r w:rsidRPr="00C44EE6">
              <w:rPr>
                <w:sz w:val="24"/>
              </w:rPr>
              <w:t xml:space="preserve">, ал </w:t>
            </w:r>
            <w:proofErr w:type="spellStart"/>
            <w:r w:rsidRPr="00C44EE6">
              <w:rPr>
                <w:sz w:val="24"/>
              </w:rPr>
              <w:t>эми</w:t>
            </w:r>
            <w:proofErr w:type="spellEnd"/>
            <w:r w:rsidRPr="00C44EE6">
              <w:rPr>
                <w:sz w:val="24"/>
              </w:rPr>
              <w:t xml:space="preserve"> 2020-жылдын </w:t>
            </w:r>
            <w:proofErr w:type="spellStart"/>
            <w:r w:rsidRPr="00C44EE6">
              <w:rPr>
                <w:sz w:val="24"/>
              </w:rPr>
              <w:t>ушул</w:t>
            </w:r>
            <w:proofErr w:type="spellEnd"/>
            <w:r w:rsidRPr="00C44EE6">
              <w:rPr>
                <w:sz w:val="24"/>
              </w:rPr>
              <w:t xml:space="preserve"> эле </w:t>
            </w:r>
            <w:proofErr w:type="spellStart"/>
            <w:r w:rsidRPr="00C44EE6">
              <w:rPr>
                <w:sz w:val="24"/>
              </w:rPr>
              <w:t>мезгилине</w:t>
            </w:r>
            <w:proofErr w:type="spellEnd"/>
            <w:r w:rsidRPr="00C44EE6">
              <w:rPr>
                <w:sz w:val="24"/>
              </w:rPr>
              <w:t xml:space="preserve"> </w:t>
            </w:r>
            <w:proofErr w:type="spellStart"/>
            <w:r w:rsidRPr="00C44EE6">
              <w:rPr>
                <w:sz w:val="24"/>
              </w:rPr>
              <w:t>салыштырмалуу</w:t>
            </w:r>
            <w:proofErr w:type="spellEnd"/>
            <w:r w:rsidRPr="00C44EE6">
              <w:rPr>
                <w:sz w:val="24"/>
              </w:rPr>
              <w:t xml:space="preserve"> </w:t>
            </w:r>
            <w:r w:rsidRPr="00C44EE6">
              <w:rPr>
                <w:sz w:val="24"/>
                <w:lang w:val="ky-KG"/>
              </w:rPr>
              <w:t>71,51</w:t>
            </w:r>
            <w:r w:rsidRPr="00C44EE6">
              <w:rPr>
                <w:sz w:val="24"/>
              </w:rPr>
              <w:t xml:space="preserve"> </w:t>
            </w:r>
            <w:proofErr w:type="spellStart"/>
            <w:r w:rsidRPr="00C44EE6">
              <w:rPr>
                <w:sz w:val="24"/>
              </w:rPr>
              <w:t>пайызга</w:t>
            </w:r>
            <w:proofErr w:type="spellEnd"/>
            <w:r w:rsidRPr="00C44EE6">
              <w:rPr>
                <w:sz w:val="24"/>
              </w:rPr>
              <w:t xml:space="preserve"> </w:t>
            </w:r>
            <w:proofErr w:type="spellStart"/>
            <w:proofErr w:type="gramStart"/>
            <w:r w:rsidRPr="00C44EE6">
              <w:rPr>
                <w:sz w:val="24"/>
              </w:rPr>
              <w:t>өскөн</w:t>
            </w:r>
            <w:proofErr w:type="spellEnd"/>
            <w:r w:rsidRPr="00C44EE6">
              <w:rPr>
                <w:sz w:val="24"/>
              </w:rPr>
              <w:t>.(</w:t>
            </w:r>
            <w:proofErr w:type="spellStart"/>
            <w:proofErr w:type="gramEnd"/>
            <w:r w:rsidRPr="00C44EE6">
              <w:rPr>
                <w:sz w:val="24"/>
              </w:rPr>
              <w:t>Тиркемелер</w:t>
            </w:r>
            <w:proofErr w:type="spellEnd"/>
            <w:r w:rsidRPr="00C44EE6">
              <w:rPr>
                <w:sz w:val="24"/>
              </w:rPr>
              <w:t xml:space="preserve"> таблица 7.3-7.4)</w:t>
            </w:r>
          </w:p>
        </w:tc>
        <w:tc>
          <w:tcPr>
            <w:tcW w:w="4851" w:type="dxa"/>
            <w:shd w:val="clear" w:color="000000" w:fill="FFFFFF"/>
          </w:tcPr>
          <w:p w14:paraId="1CA8807F" w14:textId="0A7FCFDC" w:rsidR="00F0634D" w:rsidRPr="00C44EE6" w:rsidRDefault="00F0634D" w:rsidP="00F0634D">
            <w:pPr>
              <w:ind w:firstLine="767"/>
              <w:jc w:val="both"/>
            </w:pPr>
            <w:r w:rsidRPr="00C44EE6">
              <w:rPr>
                <w:i/>
                <w:sz w:val="24"/>
              </w:rPr>
              <w:t>Автомобильным транспортом в 2024 году объем грузооборота (включены ведомственные автомашины) составил</w:t>
            </w:r>
            <w:r w:rsidRPr="00C44EE6">
              <w:rPr>
                <w:b/>
                <w:i/>
                <w:sz w:val="24"/>
              </w:rPr>
              <w:t xml:space="preserve"> </w:t>
            </w:r>
            <w:r w:rsidRPr="00C44EE6">
              <w:rPr>
                <w:i/>
                <w:sz w:val="24"/>
              </w:rPr>
              <w:t xml:space="preserve">178,2. тонно-километров, или на </w:t>
            </w:r>
            <w:r w:rsidRPr="00C44EE6">
              <w:rPr>
                <w:i/>
                <w:sz w:val="24"/>
                <w:lang w:val="ky-KG"/>
              </w:rPr>
              <w:t>7,</w:t>
            </w:r>
            <w:r w:rsidRPr="00C44EE6">
              <w:rPr>
                <w:i/>
                <w:sz w:val="24"/>
              </w:rPr>
              <w:t xml:space="preserve">4 процента </w:t>
            </w:r>
            <w:r w:rsidRPr="00C44EE6">
              <w:rPr>
                <w:i/>
                <w:sz w:val="24"/>
                <w:lang w:val="ky-KG"/>
              </w:rPr>
              <w:t>больше</w:t>
            </w:r>
            <w:r w:rsidRPr="00C44EE6">
              <w:rPr>
                <w:i/>
                <w:sz w:val="24"/>
              </w:rPr>
              <w:t xml:space="preserve"> по сравнению с соответствующим периодом прошлого года, а по сравнению с 2020г. – на 71,51 процента </w:t>
            </w:r>
            <w:proofErr w:type="gramStart"/>
            <w:r w:rsidRPr="00C44EE6">
              <w:rPr>
                <w:i/>
                <w:sz w:val="24"/>
              </w:rPr>
              <w:t>больше.(</w:t>
            </w:r>
            <w:proofErr w:type="spellStart"/>
            <w:r w:rsidRPr="00C44EE6">
              <w:rPr>
                <w:i/>
                <w:sz w:val="24"/>
              </w:rPr>
              <w:t>Приложение:таблица</w:t>
            </w:r>
            <w:proofErr w:type="spellEnd"/>
            <w:proofErr w:type="gramEnd"/>
            <w:r w:rsidRPr="00C44EE6">
              <w:rPr>
                <w:i/>
                <w:sz w:val="24"/>
              </w:rPr>
              <w:t xml:space="preserve"> 7.3-7.4)</w:t>
            </w:r>
          </w:p>
        </w:tc>
        <w:tc>
          <w:tcPr>
            <w:tcW w:w="4851" w:type="dxa"/>
            <w:shd w:val="clear" w:color="000000" w:fill="FFFFFF"/>
          </w:tcPr>
          <w:p w14:paraId="07564DE6" w14:textId="77777777" w:rsidR="00F0634D" w:rsidRDefault="00F0634D" w:rsidP="00F0634D">
            <w:pPr>
              <w:ind w:firstLine="767"/>
              <w:jc w:val="both"/>
            </w:pPr>
          </w:p>
        </w:tc>
        <w:tc>
          <w:tcPr>
            <w:tcW w:w="4851" w:type="dxa"/>
            <w:shd w:val="clear" w:color="000000" w:fill="FFFFFF"/>
          </w:tcPr>
          <w:p w14:paraId="14F72828" w14:textId="77777777" w:rsidR="00F0634D" w:rsidRDefault="00F0634D" w:rsidP="00F0634D">
            <w:pPr>
              <w:ind w:firstLine="767"/>
              <w:jc w:val="both"/>
            </w:pPr>
          </w:p>
        </w:tc>
      </w:tr>
      <w:tr w:rsidR="00F0634D" w14:paraId="7D1FBF69" w14:textId="77777777" w:rsidTr="00474A80">
        <w:trPr>
          <w:trHeight w:val="1"/>
        </w:trPr>
        <w:tc>
          <w:tcPr>
            <w:tcW w:w="4851" w:type="dxa"/>
            <w:shd w:val="clear" w:color="000000" w:fill="FFFFFF"/>
          </w:tcPr>
          <w:p w14:paraId="7C927F23" w14:textId="0D52BF62" w:rsidR="00F0634D" w:rsidRPr="00C44EE6" w:rsidRDefault="00F0634D" w:rsidP="00F0634D">
            <w:pPr>
              <w:ind w:firstLine="708"/>
              <w:jc w:val="both"/>
            </w:pPr>
            <w:proofErr w:type="spellStart"/>
            <w:r w:rsidRPr="00C44EE6">
              <w:rPr>
                <w:sz w:val="24"/>
              </w:rPr>
              <w:t>Акыркы</w:t>
            </w:r>
            <w:proofErr w:type="spellEnd"/>
            <w:r w:rsidRPr="00C44EE6">
              <w:rPr>
                <w:sz w:val="24"/>
              </w:rPr>
              <w:t xml:space="preserve"> </w:t>
            </w:r>
            <w:proofErr w:type="spellStart"/>
            <w:r w:rsidRPr="00C44EE6">
              <w:rPr>
                <w:sz w:val="24"/>
              </w:rPr>
              <w:t>беш</w:t>
            </w:r>
            <w:proofErr w:type="spellEnd"/>
            <w:r w:rsidRPr="00C44EE6">
              <w:rPr>
                <w:sz w:val="24"/>
              </w:rPr>
              <w:t xml:space="preserve"> </w:t>
            </w:r>
            <w:proofErr w:type="spellStart"/>
            <w:r w:rsidRPr="00C44EE6">
              <w:rPr>
                <w:sz w:val="24"/>
              </w:rPr>
              <w:t>жылда</w:t>
            </w:r>
            <w:proofErr w:type="spellEnd"/>
            <w:r w:rsidRPr="00C44EE6">
              <w:rPr>
                <w:sz w:val="24"/>
              </w:rPr>
              <w:t xml:space="preserve"> </w:t>
            </w:r>
            <w:proofErr w:type="spellStart"/>
            <w:r w:rsidRPr="00C44EE6">
              <w:rPr>
                <w:sz w:val="24"/>
              </w:rPr>
              <w:t>облус</w:t>
            </w:r>
            <w:proofErr w:type="spellEnd"/>
            <w:r w:rsidRPr="00C44EE6">
              <w:rPr>
                <w:sz w:val="24"/>
              </w:rPr>
              <w:t xml:space="preserve"> </w:t>
            </w:r>
            <w:proofErr w:type="spellStart"/>
            <w:r w:rsidRPr="00C44EE6">
              <w:rPr>
                <w:sz w:val="24"/>
              </w:rPr>
              <w:t>боюнча</w:t>
            </w:r>
            <w:proofErr w:type="spellEnd"/>
            <w:r w:rsidRPr="00C44EE6">
              <w:rPr>
                <w:b/>
                <w:sz w:val="24"/>
              </w:rPr>
              <w:t xml:space="preserve"> </w:t>
            </w:r>
            <w:proofErr w:type="spellStart"/>
            <w:r w:rsidRPr="00C44EE6">
              <w:rPr>
                <w:sz w:val="24"/>
              </w:rPr>
              <w:t>автоунаа</w:t>
            </w:r>
            <w:proofErr w:type="spellEnd"/>
            <w:r w:rsidRPr="00C44EE6">
              <w:rPr>
                <w:sz w:val="24"/>
              </w:rPr>
              <w:t xml:space="preserve"> транспорту </w:t>
            </w:r>
            <w:proofErr w:type="spellStart"/>
            <w:r w:rsidRPr="00C44EE6">
              <w:rPr>
                <w:sz w:val="24"/>
              </w:rPr>
              <w:t>менен</w:t>
            </w:r>
            <w:proofErr w:type="spellEnd"/>
            <w:r w:rsidRPr="00C44EE6">
              <w:rPr>
                <w:sz w:val="24"/>
              </w:rPr>
              <w:t xml:space="preserve"> </w:t>
            </w:r>
            <w:proofErr w:type="spellStart"/>
            <w:r w:rsidRPr="00C44EE6">
              <w:rPr>
                <w:sz w:val="24"/>
              </w:rPr>
              <w:t>жүргүнчүлөрдү</w:t>
            </w:r>
            <w:proofErr w:type="spellEnd"/>
            <w:r w:rsidRPr="00C44EE6">
              <w:rPr>
                <w:sz w:val="24"/>
              </w:rPr>
              <w:t xml:space="preserve"> </w:t>
            </w:r>
            <w:proofErr w:type="spellStart"/>
            <w:r w:rsidRPr="00C44EE6">
              <w:rPr>
                <w:sz w:val="24"/>
              </w:rPr>
              <w:t>ташууну</w:t>
            </w:r>
            <w:proofErr w:type="spellEnd"/>
            <w:r w:rsidRPr="00C44EE6">
              <w:rPr>
                <w:sz w:val="24"/>
              </w:rPr>
              <w:t xml:space="preserve"> </w:t>
            </w:r>
            <w:proofErr w:type="spellStart"/>
            <w:proofErr w:type="gramStart"/>
            <w:r w:rsidRPr="00C44EE6">
              <w:rPr>
                <w:sz w:val="24"/>
              </w:rPr>
              <w:t>жүгүртүү</w:t>
            </w:r>
            <w:proofErr w:type="spellEnd"/>
            <w:r w:rsidRPr="00C44EE6">
              <w:rPr>
                <w:sz w:val="24"/>
              </w:rPr>
              <w:t xml:space="preserve">  </w:t>
            </w:r>
            <w:r w:rsidRPr="00C44EE6">
              <w:rPr>
                <w:sz w:val="24"/>
                <w:lang w:val="ky-KG"/>
              </w:rPr>
              <w:t>8</w:t>
            </w:r>
            <w:proofErr w:type="gramEnd"/>
            <w:r w:rsidRPr="00C44EE6">
              <w:rPr>
                <w:sz w:val="24"/>
                <w:lang w:val="ky-KG"/>
              </w:rPr>
              <w:t>,8</w:t>
            </w:r>
            <w:r w:rsidRPr="00C44EE6">
              <w:rPr>
                <w:sz w:val="24"/>
              </w:rPr>
              <w:t xml:space="preserve"> </w:t>
            </w:r>
            <w:proofErr w:type="spellStart"/>
            <w:r w:rsidRPr="00C44EE6">
              <w:rPr>
                <w:sz w:val="24"/>
              </w:rPr>
              <w:t>пайызга</w:t>
            </w:r>
            <w:proofErr w:type="spellEnd"/>
            <w:r w:rsidRPr="00C44EE6">
              <w:rPr>
                <w:sz w:val="24"/>
              </w:rPr>
              <w:t xml:space="preserve"> өсүп938,9млн. </w:t>
            </w:r>
            <w:proofErr w:type="spellStart"/>
            <w:r w:rsidRPr="00C44EE6">
              <w:rPr>
                <w:sz w:val="24"/>
              </w:rPr>
              <w:t>жүргүнчү-километрди</w:t>
            </w:r>
            <w:proofErr w:type="spellEnd"/>
            <w:r w:rsidRPr="00C44EE6">
              <w:rPr>
                <w:sz w:val="24"/>
              </w:rPr>
              <w:t xml:space="preserve"> </w:t>
            </w:r>
            <w:proofErr w:type="spellStart"/>
            <w:r w:rsidRPr="00C44EE6">
              <w:rPr>
                <w:sz w:val="24"/>
              </w:rPr>
              <w:t>түзгөн</w:t>
            </w:r>
            <w:proofErr w:type="spellEnd"/>
            <w:r w:rsidRPr="00C44EE6">
              <w:rPr>
                <w:sz w:val="24"/>
              </w:rPr>
              <w:t xml:space="preserve">, ал </w:t>
            </w:r>
            <w:proofErr w:type="spellStart"/>
            <w:r w:rsidRPr="00C44EE6">
              <w:rPr>
                <w:sz w:val="24"/>
              </w:rPr>
              <w:t>эми</w:t>
            </w:r>
            <w:proofErr w:type="spellEnd"/>
            <w:r w:rsidRPr="00C44EE6">
              <w:rPr>
                <w:sz w:val="24"/>
              </w:rPr>
              <w:t xml:space="preserve"> </w:t>
            </w:r>
            <w:proofErr w:type="spellStart"/>
            <w:r w:rsidRPr="00C44EE6">
              <w:rPr>
                <w:sz w:val="24"/>
              </w:rPr>
              <w:t>өткөн</w:t>
            </w:r>
            <w:proofErr w:type="spellEnd"/>
            <w:r w:rsidRPr="00C44EE6">
              <w:rPr>
                <w:sz w:val="24"/>
              </w:rPr>
              <w:t xml:space="preserve"> </w:t>
            </w:r>
            <w:proofErr w:type="spellStart"/>
            <w:r w:rsidRPr="00C44EE6">
              <w:rPr>
                <w:sz w:val="24"/>
              </w:rPr>
              <w:t>жылдын</w:t>
            </w:r>
            <w:proofErr w:type="spellEnd"/>
            <w:r w:rsidRPr="00C44EE6">
              <w:rPr>
                <w:sz w:val="24"/>
              </w:rPr>
              <w:t xml:space="preserve"> </w:t>
            </w:r>
            <w:proofErr w:type="spellStart"/>
            <w:r w:rsidRPr="00C44EE6">
              <w:rPr>
                <w:sz w:val="24"/>
              </w:rPr>
              <w:t>ушул</w:t>
            </w:r>
            <w:proofErr w:type="spellEnd"/>
            <w:r w:rsidRPr="00C44EE6">
              <w:rPr>
                <w:sz w:val="24"/>
              </w:rPr>
              <w:t xml:space="preserve"> эле </w:t>
            </w:r>
            <w:proofErr w:type="spellStart"/>
            <w:r w:rsidRPr="00C44EE6">
              <w:rPr>
                <w:sz w:val="24"/>
              </w:rPr>
              <w:t>мезгилине</w:t>
            </w:r>
            <w:proofErr w:type="spellEnd"/>
            <w:r w:rsidRPr="00C44EE6">
              <w:rPr>
                <w:sz w:val="24"/>
              </w:rPr>
              <w:t xml:space="preserve"> </w:t>
            </w:r>
            <w:proofErr w:type="spellStart"/>
            <w:r w:rsidRPr="00C44EE6">
              <w:rPr>
                <w:sz w:val="24"/>
              </w:rPr>
              <w:t>салыштырмалуу</w:t>
            </w:r>
            <w:proofErr w:type="spellEnd"/>
            <w:r w:rsidRPr="00C44EE6">
              <w:rPr>
                <w:sz w:val="24"/>
              </w:rPr>
              <w:t xml:space="preserve"> </w:t>
            </w:r>
            <w:r w:rsidRPr="00C44EE6">
              <w:rPr>
                <w:sz w:val="24"/>
                <w:lang w:val="ky-KG"/>
              </w:rPr>
              <w:t>25,2</w:t>
            </w:r>
            <w:r w:rsidRPr="00C44EE6">
              <w:rPr>
                <w:sz w:val="24"/>
              </w:rPr>
              <w:t xml:space="preserve"> </w:t>
            </w:r>
            <w:proofErr w:type="spellStart"/>
            <w:r w:rsidRPr="00C44EE6">
              <w:rPr>
                <w:sz w:val="24"/>
              </w:rPr>
              <w:t>пайызга</w:t>
            </w:r>
            <w:proofErr w:type="spellEnd"/>
            <w:r w:rsidRPr="00C44EE6">
              <w:rPr>
                <w:sz w:val="24"/>
              </w:rPr>
              <w:t xml:space="preserve"> </w:t>
            </w:r>
            <w:proofErr w:type="gramStart"/>
            <w:r w:rsidRPr="00C44EE6">
              <w:rPr>
                <w:sz w:val="24"/>
                <w:lang w:val="ky-KG"/>
              </w:rPr>
              <w:t>көбөйгөн</w:t>
            </w:r>
            <w:r w:rsidRPr="00C44EE6">
              <w:rPr>
                <w:sz w:val="24"/>
              </w:rPr>
              <w:t>.(</w:t>
            </w:r>
            <w:proofErr w:type="spellStart"/>
            <w:proofErr w:type="gramEnd"/>
            <w:r w:rsidRPr="00C44EE6">
              <w:rPr>
                <w:sz w:val="24"/>
              </w:rPr>
              <w:t>Тиркемелер</w:t>
            </w:r>
            <w:proofErr w:type="spellEnd"/>
            <w:r w:rsidRPr="00C44EE6">
              <w:rPr>
                <w:sz w:val="24"/>
              </w:rPr>
              <w:t xml:space="preserve"> таблица 7.9-7.10)</w:t>
            </w:r>
          </w:p>
        </w:tc>
        <w:tc>
          <w:tcPr>
            <w:tcW w:w="4851" w:type="dxa"/>
            <w:shd w:val="clear" w:color="000000" w:fill="FFFFFF"/>
          </w:tcPr>
          <w:p w14:paraId="1B246AE9" w14:textId="4AE33C04" w:rsidR="00F0634D" w:rsidRPr="00C44EE6" w:rsidRDefault="00F0634D" w:rsidP="00F0634D">
            <w:pPr>
              <w:ind w:firstLine="708"/>
              <w:jc w:val="both"/>
            </w:pPr>
            <w:r w:rsidRPr="00C44EE6">
              <w:rPr>
                <w:i/>
                <w:sz w:val="24"/>
              </w:rPr>
              <w:t xml:space="preserve">За последние пять лет объем пассажирооборота автомобильным </w:t>
            </w:r>
            <w:proofErr w:type="spellStart"/>
            <w:r w:rsidRPr="00C44EE6">
              <w:rPr>
                <w:i/>
                <w:sz w:val="24"/>
              </w:rPr>
              <w:t>транспорто</w:t>
            </w:r>
            <w:proofErr w:type="spellEnd"/>
            <w:r w:rsidRPr="00C44EE6">
              <w:rPr>
                <w:i/>
                <w:sz w:val="24"/>
                <w:lang w:val="ky-KG"/>
              </w:rPr>
              <w:t>м 202</w:t>
            </w:r>
            <w:r w:rsidRPr="00C44EE6">
              <w:rPr>
                <w:i/>
                <w:sz w:val="24"/>
              </w:rPr>
              <w:t>4</w:t>
            </w:r>
            <w:r w:rsidRPr="00C44EE6">
              <w:rPr>
                <w:i/>
                <w:sz w:val="24"/>
                <w:lang w:val="ky-KG"/>
              </w:rPr>
              <w:t>г</w:t>
            </w:r>
            <w:r w:rsidRPr="00C44EE6">
              <w:rPr>
                <w:i/>
                <w:sz w:val="24"/>
              </w:rPr>
              <w:t xml:space="preserve"> возрос на 8,8</w:t>
            </w:r>
            <w:r w:rsidRPr="00C44EE6">
              <w:rPr>
                <w:i/>
                <w:sz w:val="24"/>
                <w:lang w:val="ky-KG"/>
              </w:rPr>
              <w:t xml:space="preserve"> </w:t>
            </w:r>
            <w:r w:rsidRPr="00C44EE6">
              <w:rPr>
                <w:i/>
                <w:sz w:val="24"/>
              </w:rPr>
              <w:t>процента и составил в 938,9 миллионов пассажиро-километров, и по сравнению с 20</w:t>
            </w:r>
            <w:r w:rsidRPr="00C44EE6">
              <w:rPr>
                <w:i/>
                <w:sz w:val="24"/>
                <w:lang w:val="ky-KG"/>
              </w:rPr>
              <w:t>20</w:t>
            </w:r>
            <w:r w:rsidRPr="00C44EE6">
              <w:rPr>
                <w:i/>
                <w:sz w:val="24"/>
              </w:rPr>
              <w:t xml:space="preserve"> годом </w:t>
            </w:r>
            <w:proofErr w:type="gramStart"/>
            <w:r w:rsidRPr="00C44EE6">
              <w:rPr>
                <w:i/>
                <w:sz w:val="24"/>
              </w:rPr>
              <w:t>у</w:t>
            </w:r>
            <w:r w:rsidRPr="00C44EE6">
              <w:rPr>
                <w:i/>
                <w:sz w:val="24"/>
                <w:lang w:val="ky-KG"/>
              </w:rPr>
              <w:t>величился</w:t>
            </w:r>
            <w:r w:rsidRPr="00C44EE6">
              <w:rPr>
                <w:i/>
                <w:sz w:val="24"/>
              </w:rPr>
              <w:t xml:space="preserve">  на</w:t>
            </w:r>
            <w:proofErr w:type="gramEnd"/>
            <w:r w:rsidRPr="00C44EE6">
              <w:rPr>
                <w:i/>
                <w:sz w:val="24"/>
              </w:rPr>
              <w:t xml:space="preserve"> 25,2 процента. (</w:t>
            </w:r>
            <w:proofErr w:type="spellStart"/>
            <w:proofErr w:type="gramStart"/>
            <w:r w:rsidRPr="00C44EE6">
              <w:rPr>
                <w:i/>
                <w:sz w:val="24"/>
              </w:rPr>
              <w:t>Приложение:таблица</w:t>
            </w:r>
            <w:proofErr w:type="spellEnd"/>
            <w:proofErr w:type="gramEnd"/>
            <w:r w:rsidRPr="00C44EE6">
              <w:rPr>
                <w:i/>
                <w:sz w:val="24"/>
              </w:rPr>
              <w:t xml:space="preserve"> 7.9-7.10)</w:t>
            </w:r>
          </w:p>
        </w:tc>
        <w:tc>
          <w:tcPr>
            <w:tcW w:w="4851" w:type="dxa"/>
            <w:shd w:val="clear" w:color="000000" w:fill="FFFFFF"/>
          </w:tcPr>
          <w:p w14:paraId="5F263699" w14:textId="77777777" w:rsidR="00F0634D" w:rsidRDefault="00F0634D" w:rsidP="00F0634D">
            <w:pPr>
              <w:ind w:firstLine="708"/>
              <w:jc w:val="both"/>
            </w:pPr>
          </w:p>
        </w:tc>
        <w:tc>
          <w:tcPr>
            <w:tcW w:w="4851" w:type="dxa"/>
            <w:shd w:val="clear" w:color="000000" w:fill="FFFFFF"/>
          </w:tcPr>
          <w:p w14:paraId="58097022" w14:textId="77777777" w:rsidR="00F0634D" w:rsidRDefault="00F0634D" w:rsidP="00F0634D">
            <w:pPr>
              <w:ind w:firstLine="708"/>
              <w:jc w:val="both"/>
            </w:pPr>
          </w:p>
        </w:tc>
      </w:tr>
      <w:tr w:rsidR="00F0634D" w14:paraId="68D905F4" w14:textId="77777777" w:rsidTr="00474A80">
        <w:trPr>
          <w:trHeight w:val="1"/>
        </w:trPr>
        <w:tc>
          <w:tcPr>
            <w:tcW w:w="4851" w:type="dxa"/>
            <w:shd w:val="clear" w:color="000000" w:fill="FFFFFF"/>
          </w:tcPr>
          <w:p w14:paraId="45FF1109" w14:textId="14114F09" w:rsidR="00F0634D" w:rsidRPr="00C44EE6" w:rsidRDefault="00F0634D" w:rsidP="00F0634D">
            <w:pPr>
              <w:jc w:val="both"/>
            </w:pPr>
            <w:proofErr w:type="spellStart"/>
            <w:r w:rsidRPr="00C44EE6">
              <w:rPr>
                <w:b/>
                <w:sz w:val="24"/>
              </w:rPr>
              <w:t>Уюмдардын</w:t>
            </w:r>
            <w:proofErr w:type="spellEnd"/>
            <w:r w:rsidRPr="00C44EE6">
              <w:rPr>
                <w:b/>
                <w:sz w:val="24"/>
              </w:rPr>
              <w:t xml:space="preserve"> </w:t>
            </w:r>
            <w:proofErr w:type="spellStart"/>
            <w:r w:rsidRPr="00C44EE6">
              <w:rPr>
                <w:b/>
                <w:sz w:val="24"/>
              </w:rPr>
              <w:t>түрлөрү</w:t>
            </w:r>
            <w:proofErr w:type="spellEnd"/>
            <w:r w:rsidRPr="00C44EE6">
              <w:rPr>
                <w:b/>
                <w:sz w:val="24"/>
              </w:rPr>
              <w:t xml:space="preserve"> </w:t>
            </w:r>
            <w:proofErr w:type="spellStart"/>
            <w:r w:rsidRPr="00C44EE6">
              <w:rPr>
                <w:b/>
                <w:sz w:val="24"/>
              </w:rPr>
              <w:t>боюнча</w:t>
            </w:r>
            <w:proofErr w:type="spellEnd"/>
            <w:r w:rsidRPr="00C44EE6">
              <w:rPr>
                <w:b/>
                <w:sz w:val="24"/>
              </w:rPr>
              <w:t xml:space="preserve"> </w:t>
            </w:r>
            <w:proofErr w:type="spellStart"/>
            <w:r w:rsidRPr="00C44EE6">
              <w:rPr>
                <w:b/>
                <w:sz w:val="24"/>
              </w:rPr>
              <w:t>автоунаа</w:t>
            </w:r>
            <w:proofErr w:type="spellEnd"/>
            <w:r w:rsidRPr="00C44EE6">
              <w:rPr>
                <w:b/>
                <w:sz w:val="24"/>
              </w:rPr>
              <w:t xml:space="preserve"> </w:t>
            </w:r>
            <w:proofErr w:type="spellStart"/>
            <w:r w:rsidRPr="00C44EE6">
              <w:rPr>
                <w:b/>
                <w:sz w:val="24"/>
              </w:rPr>
              <w:t>менен</w:t>
            </w:r>
            <w:proofErr w:type="spellEnd"/>
            <w:r w:rsidRPr="00C44EE6">
              <w:rPr>
                <w:b/>
                <w:sz w:val="24"/>
              </w:rPr>
              <w:t xml:space="preserve"> </w:t>
            </w:r>
            <w:proofErr w:type="spellStart"/>
            <w:r w:rsidRPr="00C44EE6">
              <w:rPr>
                <w:b/>
                <w:sz w:val="24"/>
              </w:rPr>
              <w:t>жүргүнчүлөрдүү</w:t>
            </w:r>
            <w:proofErr w:type="spellEnd"/>
            <w:r w:rsidRPr="00C44EE6">
              <w:rPr>
                <w:b/>
                <w:sz w:val="24"/>
              </w:rPr>
              <w:t xml:space="preserve"> </w:t>
            </w:r>
            <w:proofErr w:type="spellStart"/>
            <w:r w:rsidRPr="00C44EE6">
              <w:rPr>
                <w:b/>
                <w:sz w:val="24"/>
              </w:rPr>
              <w:t>ташууну</w:t>
            </w:r>
            <w:proofErr w:type="spellEnd"/>
            <w:r w:rsidRPr="00C44EE6">
              <w:rPr>
                <w:b/>
                <w:sz w:val="24"/>
              </w:rPr>
              <w:t xml:space="preserve"> </w:t>
            </w:r>
            <w:proofErr w:type="spellStart"/>
            <w:r w:rsidRPr="00C44EE6">
              <w:rPr>
                <w:b/>
                <w:sz w:val="24"/>
              </w:rPr>
              <w:t>жүгүртүү</w:t>
            </w:r>
            <w:proofErr w:type="spellEnd"/>
            <w:r w:rsidRPr="00C44EE6">
              <w:rPr>
                <w:b/>
                <w:sz w:val="24"/>
                <w:lang w:val="ky-KG"/>
              </w:rPr>
              <w:t xml:space="preserve"> </w:t>
            </w:r>
            <w:r w:rsidRPr="00C44EE6">
              <w:rPr>
                <w:sz w:val="24"/>
              </w:rPr>
              <w:t>(</w:t>
            </w:r>
            <w:proofErr w:type="spellStart"/>
            <w:r w:rsidRPr="00C44EE6">
              <w:rPr>
                <w:sz w:val="24"/>
              </w:rPr>
              <w:t>жыйынтыкка</w:t>
            </w:r>
            <w:proofErr w:type="spellEnd"/>
            <w:r w:rsidRPr="00C44EE6">
              <w:rPr>
                <w:sz w:val="24"/>
              </w:rPr>
              <w:t xml:space="preserve"> карата </w:t>
            </w:r>
            <w:proofErr w:type="spellStart"/>
            <w:r w:rsidRPr="00C44EE6">
              <w:rPr>
                <w:sz w:val="24"/>
              </w:rPr>
              <w:t>пайыз</w:t>
            </w:r>
            <w:proofErr w:type="spellEnd"/>
            <w:r w:rsidRPr="00C44EE6">
              <w:rPr>
                <w:sz w:val="24"/>
              </w:rPr>
              <w:t xml:space="preserve"> </w:t>
            </w:r>
            <w:proofErr w:type="spellStart"/>
            <w:r w:rsidRPr="00C44EE6">
              <w:rPr>
                <w:sz w:val="24"/>
              </w:rPr>
              <w:t>менен</w:t>
            </w:r>
            <w:proofErr w:type="spellEnd"/>
            <w:r w:rsidRPr="00C44EE6">
              <w:rPr>
                <w:sz w:val="24"/>
              </w:rPr>
              <w:t>)</w:t>
            </w:r>
          </w:p>
        </w:tc>
        <w:tc>
          <w:tcPr>
            <w:tcW w:w="4851" w:type="dxa"/>
            <w:shd w:val="clear" w:color="000000" w:fill="FFFFFF"/>
          </w:tcPr>
          <w:p w14:paraId="653D63B4" w14:textId="6A81F9F9" w:rsidR="00F0634D" w:rsidRPr="00C44EE6" w:rsidRDefault="00F0634D" w:rsidP="00F0634D">
            <w:pPr>
              <w:ind w:firstLine="708"/>
              <w:jc w:val="both"/>
            </w:pPr>
            <w:r w:rsidRPr="00C44EE6">
              <w:rPr>
                <w:b/>
                <w:i/>
                <w:sz w:val="24"/>
              </w:rPr>
              <w:t>Объем пассажирооборота по типам организаций</w:t>
            </w:r>
            <w:r w:rsidRPr="00C44EE6">
              <w:rPr>
                <w:b/>
                <w:i/>
                <w:sz w:val="24"/>
                <w:lang w:val="ky-KG"/>
              </w:rPr>
              <w:t xml:space="preserve"> </w:t>
            </w:r>
            <w:r w:rsidRPr="00C44EE6">
              <w:rPr>
                <w:i/>
                <w:sz w:val="24"/>
              </w:rPr>
              <w:t>(в процентах к итогу)</w:t>
            </w:r>
          </w:p>
        </w:tc>
        <w:tc>
          <w:tcPr>
            <w:tcW w:w="4851" w:type="dxa"/>
            <w:shd w:val="clear" w:color="000000" w:fill="FFFFFF"/>
          </w:tcPr>
          <w:p w14:paraId="7F26DDA2" w14:textId="77777777" w:rsidR="00F0634D" w:rsidRDefault="00F0634D" w:rsidP="00F0634D">
            <w:pPr>
              <w:jc w:val="both"/>
            </w:pPr>
          </w:p>
        </w:tc>
        <w:tc>
          <w:tcPr>
            <w:tcW w:w="4851" w:type="dxa"/>
            <w:shd w:val="clear" w:color="000000" w:fill="FFFFFF"/>
          </w:tcPr>
          <w:p w14:paraId="1111899D" w14:textId="77777777" w:rsidR="00F0634D" w:rsidRDefault="00F0634D" w:rsidP="00F0634D">
            <w:pPr>
              <w:ind w:firstLine="708"/>
              <w:jc w:val="both"/>
            </w:pPr>
          </w:p>
        </w:tc>
      </w:tr>
      <w:tr w:rsidR="00F0634D" w14:paraId="0A492F3D" w14:textId="77777777" w:rsidTr="00474A80">
        <w:trPr>
          <w:trHeight w:val="1"/>
        </w:trPr>
        <w:tc>
          <w:tcPr>
            <w:tcW w:w="4851" w:type="dxa"/>
            <w:shd w:val="clear" w:color="000000" w:fill="FFFFFF"/>
          </w:tcPr>
          <w:p w14:paraId="68C64B23" w14:textId="7DAB42ED" w:rsidR="00F0634D" w:rsidRPr="00C44EE6" w:rsidRDefault="00F0634D" w:rsidP="00F0634D">
            <w:pPr>
              <w:ind w:firstLine="708"/>
              <w:jc w:val="both"/>
              <w:rPr>
                <w:lang w:val="ky-KG"/>
              </w:rPr>
            </w:pPr>
            <w:r w:rsidRPr="00C44EE6">
              <w:rPr>
                <w:sz w:val="24"/>
              </w:rPr>
              <w:t>202</w:t>
            </w:r>
            <w:r w:rsidRPr="00C44EE6">
              <w:rPr>
                <w:sz w:val="24"/>
                <w:lang w:val="ky-KG"/>
              </w:rPr>
              <w:t>4</w:t>
            </w:r>
            <w:r w:rsidRPr="00C44EE6">
              <w:rPr>
                <w:sz w:val="24"/>
              </w:rPr>
              <w:t>-</w:t>
            </w:r>
            <w:proofErr w:type="spellStart"/>
            <w:r w:rsidRPr="00C44EE6">
              <w:rPr>
                <w:sz w:val="24"/>
              </w:rPr>
              <w:t>жылы</w:t>
            </w:r>
            <w:proofErr w:type="spellEnd"/>
            <w:r w:rsidRPr="00C44EE6">
              <w:rPr>
                <w:sz w:val="24"/>
              </w:rPr>
              <w:t xml:space="preserve"> </w:t>
            </w:r>
            <w:proofErr w:type="spellStart"/>
            <w:r w:rsidRPr="00C44EE6">
              <w:rPr>
                <w:sz w:val="24"/>
              </w:rPr>
              <w:t>автоунаа</w:t>
            </w:r>
            <w:proofErr w:type="spellEnd"/>
            <w:r w:rsidRPr="00C44EE6">
              <w:rPr>
                <w:sz w:val="24"/>
              </w:rPr>
              <w:t xml:space="preserve"> транспорту </w:t>
            </w:r>
            <w:proofErr w:type="spellStart"/>
            <w:r w:rsidRPr="00C44EE6">
              <w:rPr>
                <w:sz w:val="24"/>
              </w:rPr>
              <w:t>менен</w:t>
            </w:r>
            <w:proofErr w:type="spellEnd"/>
            <w:r w:rsidRPr="00C44EE6">
              <w:rPr>
                <w:sz w:val="24"/>
              </w:rPr>
              <w:t xml:space="preserve"> </w:t>
            </w:r>
            <w:proofErr w:type="spellStart"/>
            <w:r w:rsidRPr="00C44EE6">
              <w:rPr>
                <w:sz w:val="24"/>
              </w:rPr>
              <w:t>жүргүнчүлөрдү</w:t>
            </w:r>
            <w:proofErr w:type="spellEnd"/>
            <w:r w:rsidRPr="00C44EE6">
              <w:rPr>
                <w:sz w:val="24"/>
              </w:rPr>
              <w:t xml:space="preserve"> </w:t>
            </w:r>
            <w:proofErr w:type="spellStart"/>
            <w:r w:rsidRPr="00C44EE6">
              <w:rPr>
                <w:sz w:val="24"/>
              </w:rPr>
              <w:t>ташууну</w:t>
            </w:r>
            <w:proofErr w:type="spellEnd"/>
            <w:r w:rsidRPr="00C44EE6">
              <w:rPr>
                <w:sz w:val="24"/>
              </w:rPr>
              <w:t xml:space="preserve"> </w:t>
            </w:r>
            <w:proofErr w:type="spellStart"/>
            <w:r w:rsidRPr="00C44EE6">
              <w:rPr>
                <w:sz w:val="24"/>
              </w:rPr>
              <w:t>жүгүртүүнүн</w:t>
            </w:r>
            <w:proofErr w:type="spellEnd"/>
            <w:r w:rsidRPr="00C44EE6">
              <w:rPr>
                <w:sz w:val="24"/>
              </w:rPr>
              <w:t xml:space="preserve"> </w:t>
            </w:r>
            <w:proofErr w:type="spellStart"/>
            <w:r w:rsidRPr="00C44EE6">
              <w:rPr>
                <w:sz w:val="24"/>
              </w:rPr>
              <w:t>көптөгөн</w:t>
            </w:r>
            <w:proofErr w:type="spellEnd"/>
            <w:r w:rsidRPr="00C44EE6">
              <w:rPr>
                <w:sz w:val="24"/>
              </w:rPr>
              <w:t xml:space="preserve"> </w:t>
            </w:r>
            <w:proofErr w:type="spellStart"/>
            <w:r w:rsidRPr="00C44EE6">
              <w:rPr>
                <w:sz w:val="24"/>
              </w:rPr>
              <w:t>багыттары</w:t>
            </w:r>
            <w:proofErr w:type="spellEnd"/>
            <w:r w:rsidRPr="00C44EE6">
              <w:rPr>
                <w:sz w:val="24"/>
              </w:rPr>
              <w:t xml:space="preserve"> </w:t>
            </w:r>
            <w:proofErr w:type="spellStart"/>
            <w:r w:rsidRPr="00C44EE6">
              <w:rPr>
                <w:sz w:val="24"/>
              </w:rPr>
              <w:t>боюнча</w:t>
            </w:r>
            <w:proofErr w:type="spellEnd"/>
            <w:r w:rsidRPr="00C44EE6">
              <w:rPr>
                <w:sz w:val="24"/>
              </w:rPr>
              <w:t xml:space="preserve"> </w:t>
            </w:r>
            <w:proofErr w:type="spellStart"/>
            <w:r w:rsidRPr="00C44EE6">
              <w:rPr>
                <w:sz w:val="24"/>
              </w:rPr>
              <w:t>өскөнү</w:t>
            </w:r>
            <w:proofErr w:type="spellEnd"/>
            <w:r w:rsidRPr="00C44EE6">
              <w:rPr>
                <w:sz w:val="24"/>
              </w:rPr>
              <w:t xml:space="preserve"> </w:t>
            </w:r>
            <w:proofErr w:type="spellStart"/>
            <w:r w:rsidRPr="00C44EE6">
              <w:rPr>
                <w:sz w:val="24"/>
              </w:rPr>
              <w:t>байкалган</w:t>
            </w:r>
            <w:proofErr w:type="spellEnd"/>
            <w:r w:rsidRPr="00C44EE6">
              <w:rPr>
                <w:sz w:val="24"/>
              </w:rPr>
              <w:t xml:space="preserve">, </w:t>
            </w:r>
            <w:proofErr w:type="spellStart"/>
            <w:r w:rsidRPr="00C44EE6">
              <w:rPr>
                <w:sz w:val="24"/>
              </w:rPr>
              <w:t>негизинен</w:t>
            </w:r>
            <w:proofErr w:type="spellEnd"/>
            <w:r w:rsidRPr="00C44EE6">
              <w:rPr>
                <w:sz w:val="24"/>
              </w:rPr>
              <w:t xml:space="preserve">, </w:t>
            </w:r>
            <w:proofErr w:type="spellStart"/>
            <w:r w:rsidRPr="00C44EE6">
              <w:rPr>
                <w:sz w:val="24"/>
              </w:rPr>
              <w:t>жүргүнчүлөрдү</w:t>
            </w:r>
            <w:proofErr w:type="spellEnd"/>
            <w:r w:rsidRPr="00C44EE6">
              <w:rPr>
                <w:sz w:val="24"/>
              </w:rPr>
              <w:t xml:space="preserve"> </w:t>
            </w:r>
            <w:proofErr w:type="spellStart"/>
            <w:r w:rsidRPr="00C44EE6">
              <w:rPr>
                <w:sz w:val="24"/>
              </w:rPr>
              <w:t>ташуу</w:t>
            </w:r>
            <w:proofErr w:type="spellEnd"/>
            <w:r w:rsidRPr="00C44EE6">
              <w:rPr>
                <w:sz w:val="24"/>
              </w:rPr>
              <w:t xml:space="preserve"> </w:t>
            </w:r>
            <w:proofErr w:type="gramStart"/>
            <w:r w:rsidRPr="00C44EE6">
              <w:rPr>
                <w:sz w:val="24"/>
              </w:rPr>
              <w:t xml:space="preserve">автобус  </w:t>
            </w:r>
            <w:proofErr w:type="spellStart"/>
            <w:r w:rsidRPr="00C44EE6">
              <w:rPr>
                <w:sz w:val="24"/>
              </w:rPr>
              <w:t>жана</w:t>
            </w:r>
            <w:proofErr w:type="spellEnd"/>
            <w:proofErr w:type="gramEnd"/>
            <w:r w:rsidRPr="00C44EE6">
              <w:rPr>
                <w:sz w:val="24"/>
              </w:rPr>
              <w:t xml:space="preserve">  </w:t>
            </w:r>
            <w:proofErr w:type="spellStart"/>
            <w:r w:rsidRPr="00C44EE6">
              <w:rPr>
                <w:sz w:val="24"/>
              </w:rPr>
              <w:t>жеке</w:t>
            </w:r>
            <w:proofErr w:type="spellEnd"/>
            <w:r w:rsidRPr="00C44EE6">
              <w:rPr>
                <w:sz w:val="24"/>
              </w:rPr>
              <w:t xml:space="preserve"> </w:t>
            </w:r>
            <w:proofErr w:type="spellStart"/>
            <w:proofErr w:type="gramStart"/>
            <w:r w:rsidRPr="00C44EE6">
              <w:rPr>
                <w:sz w:val="24"/>
              </w:rPr>
              <w:t>ишкерлердин</w:t>
            </w:r>
            <w:proofErr w:type="spellEnd"/>
            <w:r w:rsidRPr="00C44EE6">
              <w:rPr>
                <w:sz w:val="24"/>
              </w:rPr>
              <w:t xml:space="preserve">  такси</w:t>
            </w:r>
            <w:proofErr w:type="gramEnd"/>
            <w:r w:rsidRPr="00C44EE6">
              <w:rPr>
                <w:sz w:val="24"/>
              </w:rPr>
              <w:t xml:space="preserve"> </w:t>
            </w:r>
            <w:proofErr w:type="spellStart"/>
            <w:r w:rsidRPr="00C44EE6">
              <w:rPr>
                <w:sz w:val="24"/>
              </w:rPr>
              <w:t>менен</w:t>
            </w:r>
            <w:proofErr w:type="spellEnd"/>
            <w:r w:rsidRPr="00C44EE6">
              <w:rPr>
                <w:sz w:val="24"/>
              </w:rPr>
              <w:t xml:space="preserve"> </w:t>
            </w:r>
            <w:proofErr w:type="spellStart"/>
            <w:r w:rsidRPr="00C44EE6">
              <w:rPr>
                <w:sz w:val="24"/>
              </w:rPr>
              <w:t>ташуусу</w:t>
            </w:r>
            <w:proofErr w:type="spellEnd"/>
            <w:r w:rsidRPr="00C44EE6">
              <w:rPr>
                <w:sz w:val="24"/>
              </w:rPr>
              <w:t xml:space="preserve"> </w:t>
            </w:r>
            <w:proofErr w:type="spellStart"/>
            <w:r w:rsidRPr="00C44EE6">
              <w:rPr>
                <w:sz w:val="24"/>
              </w:rPr>
              <w:t>аркылуу</w:t>
            </w:r>
            <w:proofErr w:type="spellEnd"/>
            <w:r w:rsidRPr="00C44EE6">
              <w:rPr>
                <w:sz w:val="24"/>
              </w:rPr>
              <w:t xml:space="preserve"> </w:t>
            </w:r>
            <w:proofErr w:type="spellStart"/>
            <w:r w:rsidRPr="00C44EE6">
              <w:rPr>
                <w:sz w:val="24"/>
              </w:rPr>
              <w:t>көбөйгөн</w:t>
            </w:r>
            <w:proofErr w:type="spellEnd"/>
            <w:r w:rsidRPr="00C44EE6">
              <w:rPr>
                <w:sz w:val="24"/>
              </w:rPr>
              <w:t>. 202</w:t>
            </w:r>
            <w:r w:rsidRPr="00C44EE6">
              <w:rPr>
                <w:sz w:val="24"/>
                <w:lang w:val="ky-KG"/>
              </w:rPr>
              <w:t>4</w:t>
            </w:r>
            <w:r w:rsidRPr="00C44EE6">
              <w:rPr>
                <w:sz w:val="24"/>
              </w:rPr>
              <w:t>-</w:t>
            </w:r>
            <w:proofErr w:type="spellStart"/>
            <w:r w:rsidRPr="00C44EE6">
              <w:rPr>
                <w:sz w:val="24"/>
              </w:rPr>
              <w:t>жылы</w:t>
            </w:r>
            <w:proofErr w:type="spellEnd"/>
            <w:r w:rsidRPr="00C44EE6">
              <w:rPr>
                <w:sz w:val="24"/>
              </w:rPr>
              <w:t xml:space="preserve"> </w:t>
            </w:r>
            <w:proofErr w:type="spellStart"/>
            <w:r w:rsidRPr="00C44EE6">
              <w:rPr>
                <w:sz w:val="24"/>
              </w:rPr>
              <w:t>автоунаа</w:t>
            </w:r>
            <w:proofErr w:type="spellEnd"/>
            <w:r w:rsidRPr="00C44EE6">
              <w:rPr>
                <w:sz w:val="24"/>
              </w:rPr>
              <w:t xml:space="preserve"> </w:t>
            </w:r>
            <w:proofErr w:type="spellStart"/>
            <w:proofErr w:type="gramStart"/>
            <w:r w:rsidRPr="00C44EE6">
              <w:rPr>
                <w:sz w:val="24"/>
              </w:rPr>
              <w:t>менен</w:t>
            </w:r>
            <w:proofErr w:type="spellEnd"/>
            <w:r w:rsidRPr="00C44EE6">
              <w:rPr>
                <w:b/>
                <w:sz w:val="24"/>
              </w:rPr>
              <w:t xml:space="preserve"> </w:t>
            </w:r>
            <w:r w:rsidRPr="00C44EE6">
              <w:rPr>
                <w:sz w:val="24"/>
              </w:rPr>
              <w:t xml:space="preserve"> </w:t>
            </w:r>
            <w:proofErr w:type="spellStart"/>
            <w:r w:rsidRPr="00C44EE6">
              <w:rPr>
                <w:sz w:val="24"/>
              </w:rPr>
              <w:t>жүргүнчүлөрдү</w:t>
            </w:r>
            <w:proofErr w:type="spellEnd"/>
            <w:proofErr w:type="gramEnd"/>
            <w:r w:rsidRPr="00C44EE6">
              <w:rPr>
                <w:sz w:val="24"/>
              </w:rPr>
              <w:t xml:space="preserve"> </w:t>
            </w:r>
            <w:proofErr w:type="spellStart"/>
            <w:r w:rsidRPr="00C44EE6">
              <w:rPr>
                <w:sz w:val="24"/>
              </w:rPr>
              <w:t>ташууну</w:t>
            </w:r>
            <w:proofErr w:type="spellEnd"/>
            <w:r w:rsidRPr="00C44EE6">
              <w:rPr>
                <w:sz w:val="24"/>
              </w:rPr>
              <w:t xml:space="preserve"> </w:t>
            </w:r>
            <w:proofErr w:type="spellStart"/>
            <w:r w:rsidRPr="00C44EE6">
              <w:rPr>
                <w:sz w:val="24"/>
              </w:rPr>
              <w:t>жүгүртүүнүн</w:t>
            </w:r>
            <w:proofErr w:type="spellEnd"/>
            <w:r w:rsidRPr="00C44EE6">
              <w:rPr>
                <w:sz w:val="24"/>
              </w:rPr>
              <w:t xml:space="preserve"> </w:t>
            </w:r>
            <w:proofErr w:type="spellStart"/>
            <w:r w:rsidRPr="00C44EE6">
              <w:rPr>
                <w:sz w:val="24"/>
              </w:rPr>
              <w:t>үлүшү</w:t>
            </w:r>
            <w:proofErr w:type="spellEnd"/>
            <w:r w:rsidRPr="00C44EE6">
              <w:rPr>
                <w:sz w:val="24"/>
              </w:rPr>
              <w:t xml:space="preserve"> </w:t>
            </w:r>
            <w:r w:rsidRPr="00C44EE6">
              <w:rPr>
                <w:sz w:val="24"/>
                <w:lang w:val="ky-KG"/>
              </w:rPr>
              <w:t>7,4</w:t>
            </w:r>
            <w:r w:rsidRPr="00C44EE6">
              <w:rPr>
                <w:sz w:val="24"/>
              </w:rPr>
              <w:t xml:space="preserve"> </w:t>
            </w:r>
            <w:proofErr w:type="spellStart"/>
            <w:r w:rsidRPr="00C44EE6">
              <w:rPr>
                <w:sz w:val="24"/>
              </w:rPr>
              <w:t>пайызды</w:t>
            </w:r>
            <w:proofErr w:type="spellEnd"/>
            <w:r w:rsidRPr="00C44EE6">
              <w:rPr>
                <w:sz w:val="24"/>
              </w:rPr>
              <w:t xml:space="preserve"> </w:t>
            </w:r>
            <w:proofErr w:type="spellStart"/>
            <w:r w:rsidRPr="00C44EE6">
              <w:rPr>
                <w:sz w:val="24"/>
              </w:rPr>
              <w:t>түзгөн</w:t>
            </w:r>
            <w:proofErr w:type="spellEnd"/>
            <w:r w:rsidRPr="00C44EE6">
              <w:rPr>
                <w:sz w:val="24"/>
                <w:lang w:val="ky-KG"/>
              </w:rPr>
              <w:t>.</w:t>
            </w:r>
          </w:p>
        </w:tc>
        <w:tc>
          <w:tcPr>
            <w:tcW w:w="4851" w:type="dxa"/>
            <w:shd w:val="clear" w:color="000000" w:fill="FFFFFF"/>
          </w:tcPr>
          <w:p w14:paraId="1A3D7454" w14:textId="4E4EABAA" w:rsidR="00F0634D" w:rsidRPr="00C44EE6" w:rsidRDefault="00F0634D" w:rsidP="00F0634D">
            <w:pPr>
              <w:ind w:firstLine="708"/>
              <w:jc w:val="both"/>
            </w:pPr>
            <w:r w:rsidRPr="00C44EE6">
              <w:rPr>
                <w:i/>
                <w:sz w:val="24"/>
              </w:rPr>
              <w:t xml:space="preserve">Прирост пассажирооборота получен, в основном, за счет увеличения перевозок пассажиров автобусами и такси индивидуальных владельцев. Доля пассажирооборота, выполненного ими в 2024 году </w:t>
            </w:r>
            <w:proofErr w:type="gramStart"/>
            <w:r w:rsidRPr="00C44EE6">
              <w:rPr>
                <w:i/>
                <w:sz w:val="24"/>
              </w:rPr>
              <w:t>в общем объеме</w:t>
            </w:r>
            <w:proofErr w:type="gramEnd"/>
            <w:r w:rsidRPr="00C44EE6">
              <w:rPr>
                <w:i/>
                <w:sz w:val="24"/>
              </w:rPr>
              <w:t xml:space="preserve"> составила 7,4 процента</w:t>
            </w:r>
          </w:p>
        </w:tc>
        <w:tc>
          <w:tcPr>
            <w:tcW w:w="4851" w:type="dxa"/>
            <w:shd w:val="clear" w:color="000000" w:fill="FFFFFF"/>
          </w:tcPr>
          <w:p w14:paraId="42A48299" w14:textId="77777777" w:rsidR="00F0634D" w:rsidRDefault="00F0634D" w:rsidP="00F0634D">
            <w:pPr>
              <w:ind w:firstLine="708"/>
              <w:jc w:val="both"/>
            </w:pPr>
          </w:p>
        </w:tc>
        <w:tc>
          <w:tcPr>
            <w:tcW w:w="4851" w:type="dxa"/>
            <w:shd w:val="clear" w:color="000000" w:fill="FFFFFF"/>
          </w:tcPr>
          <w:p w14:paraId="3C32F762" w14:textId="77777777" w:rsidR="00F0634D" w:rsidRPr="00096A6F" w:rsidRDefault="00F0634D" w:rsidP="00F0634D">
            <w:pPr>
              <w:ind w:firstLine="708"/>
              <w:jc w:val="both"/>
              <w:rPr>
                <w:lang w:val="ky-KG"/>
              </w:rPr>
            </w:pPr>
          </w:p>
        </w:tc>
      </w:tr>
      <w:tr w:rsidR="00F0634D" w14:paraId="5E355718" w14:textId="77777777" w:rsidTr="00474A80">
        <w:trPr>
          <w:trHeight w:val="1"/>
        </w:trPr>
        <w:tc>
          <w:tcPr>
            <w:tcW w:w="4851" w:type="dxa"/>
            <w:shd w:val="clear" w:color="000000" w:fill="FFFFFF"/>
          </w:tcPr>
          <w:p w14:paraId="34A5F953" w14:textId="0A7B0AF6" w:rsidR="00F0634D" w:rsidRPr="00C44EE6" w:rsidRDefault="00F0634D" w:rsidP="00F0634D">
            <w:pPr>
              <w:spacing w:after="60"/>
              <w:jc w:val="both"/>
            </w:pPr>
            <w:proofErr w:type="spellStart"/>
            <w:r w:rsidRPr="00C44EE6">
              <w:rPr>
                <w:b/>
                <w:sz w:val="24"/>
              </w:rPr>
              <w:t>Аймактар</w:t>
            </w:r>
            <w:proofErr w:type="spellEnd"/>
            <w:r w:rsidRPr="00C44EE6">
              <w:rPr>
                <w:b/>
                <w:sz w:val="24"/>
              </w:rPr>
              <w:t xml:space="preserve"> </w:t>
            </w:r>
            <w:proofErr w:type="spellStart"/>
            <w:r w:rsidRPr="00C44EE6">
              <w:rPr>
                <w:b/>
                <w:sz w:val="24"/>
              </w:rPr>
              <w:t>боюнча</w:t>
            </w:r>
            <w:proofErr w:type="spellEnd"/>
            <w:r w:rsidRPr="00C44EE6">
              <w:rPr>
                <w:b/>
                <w:i/>
                <w:sz w:val="24"/>
              </w:rPr>
              <w:t xml:space="preserve"> </w:t>
            </w:r>
            <w:proofErr w:type="spellStart"/>
            <w:r w:rsidRPr="00C44EE6">
              <w:rPr>
                <w:b/>
                <w:sz w:val="24"/>
              </w:rPr>
              <w:t>жүргүнчүлөрдү</w:t>
            </w:r>
            <w:proofErr w:type="spellEnd"/>
            <w:r w:rsidRPr="00C44EE6">
              <w:rPr>
                <w:b/>
                <w:sz w:val="24"/>
              </w:rPr>
              <w:t xml:space="preserve"> </w:t>
            </w:r>
            <w:proofErr w:type="spellStart"/>
            <w:r w:rsidRPr="00C44EE6">
              <w:rPr>
                <w:b/>
                <w:sz w:val="24"/>
              </w:rPr>
              <w:t>ташуу</w:t>
            </w:r>
            <w:proofErr w:type="spellEnd"/>
            <w:r w:rsidRPr="00C44EE6">
              <w:rPr>
                <w:b/>
                <w:sz w:val="24"/>
              </w:rPr>
              <w:t xml:space="preserve"> </w:t>
            </w:r>
            <w:proofErr w:type="spellStart"/>
            <w:r w:rsidRPr="00C44EE6">
              <w:rPr>
                <w:b/>
                <w:sz w:val="24"/>
              </w:rPr>
              <w:t>үлүшү</w:t>
            </w:r>
            <w:proofErr w:type="spellEnd"/>
            <w:r w:rsidRPr="00C44EE6">
              <w:rPr>
                <w:b/>
                <w:sz w:val="24"/>
                <w:lang w:val="ky-KG"/>
              </w:rPr>
              <w:t xml:space="preserve"> </w:t>
            </w:r>
            <w:r w:rsidRPr="00C44EE6">
              <w:rPr>
                <w:sz w:val="24"/>
              </w:rPr>
              <w:t>(</w:t>
            </w:r>
            <w:proofErr w:type="spellStart"/>
            <w:r w:rsidRPr="00C44EE6">
              <w:rPr>
                <w:sz w:val="24"/>
              </w:rPr>
              <w:t>жыйынтыкка</w:t>
            </w:r>
            <w:proofErr w:type="spellEnd"/>
            <w:r w:rsidRPr="00C44EE6">
              <w:rPr>
                <w:sz w:val="24"/>
              </w:rPr>
              <w:t xml:space="preserve"> карата </w:t>
            </w:r>
            <w:proofErr w:type="spellStart"/>
            <w:r w:rsidRPr="00C44EE6">
              <w:rPr>
                <w:sz w:val="24"/>
              </w:rPr>
              <w:t>пайыз</w:t>
            </w:r>
            <w:proofErr w:type="spellEnd"/>
            <w:r w:rsidRPr="00C44EE6">
              <w:rPr>
                <w:sz w:val="24"/>
              </w:rPr>
              <w:t xml:space="preserve"> </w:t>
            </w:r>
            <w:proofErr w:type="spellStart"/>
            <w:r w:rsidRPr="00C44EE6">
              <w:rPr>
                <w:sz w:val="24"/>
              </w:rPr>
              <w:t>менен</w:t>
            </w:r>
            <w:proofErr w:type="spellEnd"/>
            <w:r w:rsidRPr="00C44EE6">
              <w:rPr>
                <w:sz w:val="24"/>
              </w:rPr>
              <w:t>)</w:t>
            </w:r>
          </w:p>
        </w:tc>
        <w:tc>
          <w:tcPr>
            <w:tcW w:w="4851" w:type="dxa"/>
            <w:shd w:val="clear" w:color="000000" w:fill="FFFFFF"/>
          </w:tcPr>
          <w:p w14:paraId="5E5AA78A" w14:textId="4CFACE0A" w:rsidR="00F0634D" w:rsidRPr="00C44EE6" w:rsidRDefault="00F0634D" w:rsidP="00F0634D">
            <w:pPr>
              <w:ind w:left="283"/>
              <w:jc w:val="both"/>
            </w:pPr>
            <w:r w:rsidRPr="00C44EE6">
              <w:rPr>
                <w:b/>
                <w:i/>
                <w:sz w:val="24"/>
              </w:rPr>
              <w:t xml:space="preserve">Структура перевозки пассажиров по </w:t>
            </w:r>
            <w:proofErr w:type="gramStart"/>
            <w:r w:rsidRPr="00C44EE6">
              <w:rPr>
                <w:b/>
                <w:i/>
                <w:sz w:val="24"/>
              </w:rPr>
              <w:t>территории</w:t>
            </w:r>
            <w:r w:rsidRPr="00C44EE6">
              <w:rPr>
                <w:b/>
                <w:i/>
                <w:sz w:val="24"/>
                <w:lang w:val="ky-KG"/>
              </w:rPr>
              <w:t xml:space="preserve">  </w:t>
            </w:r>
            <w:r w:rsidRPr="00C44EE6">
              <w:rPr>
                <w:i/>
                <w:sz w:val="24"/>
              </w:rPr>
              <w:t>(</w:t>
            </w:r>
            <w:proofErr w:type="gramEnd"/>
            <w:r w:rsidRPr="00C44EE6">
              <w:rPr>
                <w:i/>
                <w:sz w:val="24"/>
              </w:rPr>
              <w:t>в процентах к итогу)</w:t>
            </w:r>
          </w:p>
        </w:tc>
        <w:tc>
          <w:tcPr>
            <w:tcW w:w="4851" w:type="dxa"/>
            <w:shd w:val="clear" w:color="000000" w:fill="FFFFFF"/>
          </w:tcPr>
          <w:p w14:paraId="56DA306C" w14:textId="77777777" w:rsidR="00F0634D" w:rsidRDefault="00F0634D" w:rsidP="00F0634D">
            <w:pPr>
              <w:spacing w:after="60"/>
              <w:jc w:val="both"/>
            </w:pPr>
          </w:p>
        </w:tc>
        <w:tc>
          <w:tcPr>
            <w:tcW w:w="4851" w:type="dxa"/>
            <w:shd w:val="clear" w:color="000000" w:fill="FFFFFF"/>
          </w:tcPr>
          <w:p w14:paraId="0B809088" w14:textId="77777777" w:rsidR="00F0634D" w:rsidRDefault="00F0634D" w:rsidP="00F0634D">
            <w:pPr>
              <w:ind w:left="283"/>
              <w:jc w:val="both"/>
            </w:pPr>
          </w:p>
        </w:tc>
      </w:tr>
      <w:tr w:rsidR="00F0634D" w14:paraId="34FC3B72" w14:textId="77777777" w:rsidTr="00474A80">
        <w:trPr>
          <w:trHeight w:val="1"/>
        </w:trPr>
        <w:tc>
          <w:tcPr>
            <w:tcW w:w="4851" w:type="dxa"/>
          </w:tcPr>
          <w:p w14:paraId="3F5B1B92" w14:textId="600F68AE" w:rsidR="00F0634D" w:rsidRPr="00C44EE6" w:rsidRDefault="00F0634D" w:rsidP="00F0634D">
            <w:pPr>
              <w:ind w:firstLine="709"/>
              <w:jc w:val="both"/>
            </w:pPr>
            <w:r w:rsidRPr="00C44EE6">
              <w:rPr>
                <w:sz w:val="24"/>
              </w:rPr>
              <w:t>202</w:t>
            </w:r>
            <w:r w:rsidRPr="00C44EE6">
              <w:rPr>
                <w:sz w:val="24"/>
                <w:lang w:val="ky-KG"/>
              </w:rPr>
              <w:t>4</w:t>
            </w:r>
            <w:r w:rsidRPr="00C44EE6">
              <w:rPr>
                <w:sz w:val="24"/>
              </w:rPr>
              <w:t>-</w:t>
            </w:r>
            <w:proofErr w:type="spellStart"/>
            <w:r w:rsidRPr="00C44EE6">
              <w:rPr>
                <w:sz w:val="24"/>
              </w:rPr>
              <w:t>жылдын</w:t>
            </w:r>
            <w:proofErr w:type="spellEnd"/>
            <w:r w:rsidRPr="00C44EE6">
              <w:rPr>
                <w:sz w:val="24"/>
              </w:rPr>
              <w:t xml:space="preserve"> </w:t>
            </w:r>
            <w:proofErr w:type="spellStart"/>
            <w:r w:rsidRPr="00C44EE6">
              <w:rPr>
                <w:sz w:val="24"/>
              </w:rPr>
              <w:t>жүргүнчүлөрдү</w:t>
            </w:r>
            <w:proofErr w:type="spellEnd"/>
            <w:r w:rsidRPr="00C44EE6">
              <w:rPr>
                <w:sz w:val="24"/>
              </w:rPr>
              <w:t xml:space="preserve"> </w:t>
            </w:r>
            <w:proofErr w:type="spellStart"/>
            <w:r w:rsidRPr="00C44EE6">
              <w:rPr>
                <w:sz w:val="24"/>
              </w:rPr>
              <w:t>ташуу</w:t>
            </w:r>
            <w:proofErr w:type="spellEnd"/>
            <w:r w:rsidRPr="00C44EE6">
              <w:rPr>
                <w:sz w:val="24"/>
              </w:rPr>
              <w:t xml:space="preserve"> </w:t>
            </w:r>
            <w:proofErr w:type="spellStart"/>
            <w:r w:rsidRPr="00C44EE6">
              <w:rPr>
                <w:sz w:val="24"/>
              </w:rPr>
              <w:t>облус</w:t>
            </w:r>
            <w:proofErr w:type="spellEnd"/>
            <w:r w:rsidRPr="00C44EE6">
              <w:rPr>
                <w:sz w:val="24"/>
              </w:rPr>
              <w:t xml:space="preserve"> </w:t>
            </w:r>
            <w:proofErr w:type="spellStart"/>
            <w:r w:rsidRPr="00C44EE6">
              <w:rPr>
                <w:sz w:val="24"/>
              </w:rPr>
              <w:t>боюнча</w:t>
            </w:r>
            <w:proofErr w:type="spellEnd"/>
            <w:r w:rsidRPr="00C44EE6">
              <w:rPr>
                <w:sz w:val="24"/>
              </w:rPr>
              <w:t xml:space="preserve"> </w:t>
            </w:r>
            <w:r w:rsidRPr="00C44EE6">
              <w:rPr>
                <w:sz w:val="24"/>
                <w:lang w:val="ky-KG"/>
              </w:rPr>
              <w:t>32,8</w:t>
            </w:r>
            <w:r w:rsidRPr="00C44EE6">
              <w:rPr>
                <w:sz w:val="24"/>
              </w:rPr>
              <w:t xml:space="preserve"> млн. </w:t>
            </w:r>
            <w:proofErr w:type="spellStart"/>
            <w:r w:rsidRPr="00C44EE6">
              <w:rPr>
                <w:sz w:val="24"/>
              </w:rPr>
              <w:t>адамды</w:t>
            </w:r>
            <w:proofErr w:type="spellEnd"/>
            <w:r w:rsidRPr="00C44EE6">
              <w:rPr>
                <w:sz w:val="24"/>
              </w:rPr>
              <w:t xml:space="preserve"> </w:t>
            </w:r>
            <w:proofErr w:type="spellStart"/>
            <w:r w:rsidRPr="00C44EE6">
              <w:rPr>
                <w:sz w:val="24"/>
              </w:rPr>
              <w:t>түзүп</w:t>
            </w:r>
            <w:proofErr w:type="spellEnd"/>
            <w:r w:rsidRPr="00C44EE6">
              <w:rPr>
                <w:sz w:val="24"/>
              </w:rPr>
              <w:t xml:space="preserve"> </w:t>
            </w:r>
            <w:proofErr w:type="spellStart"/>
            <w:r w:rsidRPr="00C44EE6">
              <w:rPr>
                <w:sz w:val="24"/>
              </w:rPr>
              <w:t>өткөн</w:t>
            </w:r>
            <w:proofErr w:type="spellEnd"/>
            <w:r w:rsidRPr="00C44EE6">
              <w:rPr>
                <w:sz w:val="24"/>
              </w:rPr>
              <w:t xml:space="preserve"> </w:t>
            </w:r>
            <w:proofErr w:type="spellStart"/>
            <w:r w:rsidRPr="00C44EE6">
              <w:rPr>
                <w:sz w:val="24"/>
              </w:rPr>
              <w:t>жылдын</w:t>
            </w:r>
            <w:proofErr w:type="spellEnd"/>
            <w:r w:rsidRPr="00C44EE6">
              <w:rPr>
                <w:sz w:val="24"/>
              </w:rPr>
              <w:t xml:space="preserve"> </w:t>
            </w:r>
            <w:proofErr w:type="spellStart"/>
            <w:r w:rsidRPr="00C44EE6">
              <w:rPr>
                <w:sz w:val="24"/>
              </w:rPr>
              <w:t>ушул</w:t>
            </w:r>
            <w:proofErr w:type="spellEnd"/>
            <w:r w:rsidRPr="00C44EE6">
              <w:rPr>
                <w:sz w:val="24"/>
              </w:rPr>
              <w:t xml:space="preserve"> </w:t>
            </w:r>
            <w:proofErr w:type="spellStart"/>
            <w:r w:rsidRPr="00C44EE6">
              <w:rPr>
                <w:sz w:val="24"/>
              </w:rPr>
              <w:t>мезгилине</w:t>
            </w:r>
            <w:proofErr w:type="spellEnd"/>
            <w:r w:rsidRPr="00C44EE6">
              <w:rPr>
                <w:sz w:val="24"/>
              </w:rPr>
              <w:t xml:space="preserve">   </w:t>
            </w:r>
            <w:proofErr w:type="spellStart"/>
            <w:r w:rsidRPr="00C44EE6">
              <w:rPr>
                <w:sz w:val="24"/>
              </w:rPr>
              <w:t>салыштырмалуу</w:t>
            </w:r>
            <w:proofErr w:type="spellEnd"/>
            <w:r w:rsidRPr="00C44EE6">
              <w:rPr>
                <w:sz w:val="24"/>
              </w:rPr>
              <w:t xml:space="preserve"> </w:t>
            </w:r>
            <w:r w:rsidRPr="00C44EE6">
              <w:rPr>
                <w:sz w:val="24"/>
                <w:lang w:val="ky-KG"/>
              </w:rPr>
              <w:t>20,9</w:t>
            </w:r>
            <w:r w:rsidRPr="00C44EE6">
              <w:rPr>
                <w:sz w:val="24"/>
              </w:rPr>
              <w:t xml:space="preserve"> </w:t>
            </w:r>
            <w:proofErr w:type="spellStart"/>
            <w:r w:rsidRPr="00C44EE6">
              <w:rPr>
                <w:sz w:val="24"/>
              </w:rPr>
              <w:t>пайызга</w:t>
            </w:r>
            <w:proofErr w:type="spellEnd"/>
            <w:r w:rsidRPr="00C44EE6">
              <w:rPr>
                <w:sz w:val="24"/>
              </w:rPr>
              <w:t xml:space="preserve"> </w:t>
            </w:r>
            <w:proofErr w:type="gramStart"/>
            <w:r w:rsidRPr="00C44EE6">
              <w:rPr>
                <w:sz w:val="24"/>
                <w:lang w:val="ky-KG"/>
              </w:rPr>
              <w:t>көбөйгөн</w:t>
            </w:r>
            <w:r w:rsidRPr="00C44EE6">
              <w:rPr>
                <w:sz w:val="24"/>
              </w:rPr>
              <w:t>.(</w:t>
            </w:r>
            <w:proofErr w:type="spellStart"/>
            <w:proofErr w:type="gramEnd"/>
            <w:r w:rsidRPr="00C44EE6">
              <w:rPr>
                <w:sz w:val="24"/>
              </w:rPr>
              <w:t>Тиркемелер</w:t>
            </w:r>
            <w:proofErr w:type="spellEnd"/>
            <w:r w:rsidRPr="00C44EE6">
              <w:rPr>
                <w:sz w:val="24"/>
              </w:rPr>
              <w:t xml:space="preserve"> таблица 7.6-7.7)</w:t>
            </w:r>
          </w:p>
        </w:tc>
        <w:tc>
          <w:tcPr>
            <w:tcW w:w="4851" w:type="dxa"/>
          </w:tcPr>
          <w:p w14:paraId="253D8070" w14:textId="5D566916" w:rsidR="00F0634D" w:rsidRPr="00C44EE6" w:rsidRDefault="00F0634D" w:rsidP="00F0634D">
            <w:pPr>
              <w:ind w:firstLine="720"/>
              <w:jc w:val="both"/>
            </w:pPr>
            <w:r w:rsidRPr="00C44EE6">
              <w:rPr>
                <w:i/>
                <w:sz w:val="24"/>
              </w:rPr>
              <w:t xml:space="preserve">В 2024 году перевозка пассажиров по области составила 32,8 млн. человек, что на 20,9 процента </w:t>
            </w:r>
            <w:r w:rsidRPr="00C44EE6">
              <w:rPr>
                <w:i/>
                <w:sz w:val="24"/>
                <w:lang w:val="ky-KG"/>
              </w:rPr>
              <w:t>больше</w:t>
            </w:r>
            <w:r w:rsidRPr="00C44EE6">
              <w:rPr>
                <w:i/>
                <w:sz w:val="24"/>
              </w:rPr>
              <w:t xml:space="preserve"> по сравнению с соответствующим периодом прошлого </w:t>
            </w:r>
            <w:proofErr w:type="gramStart"/>
            <w:r w:rsidRPr="00C44EE6">
              <w:rPr>
                <w:i/>
                <w:sz w:val="24"/>
              </w:rPr>
              <w:t>года.(</w:t>
            </w:r>
            <w:proofErr w:type="spellStart"/>
            <w:r w:rsidRPr="00C44EE6">
              <w:rPr>
                <w:i/>
                <w:sz w:val="24"/>
              </w:rPr>
              <w:t>Приложение:таблица</w:t>
            </w:r>
            <w:proofErr w:type="spellEnd"/>
            <w:proofErr w:type="gramEnd"/>
            <w:r w:rsidRPr="00C44EE6">
              <w:rPr>
                <w:i/>
                <w:sz w:val="24"/>
              </w:rPr>
              <w:t xml:space="preserve"> 7.6-7.7)</w:t>
            </w:r>
          </w:p>
        </w:tc>
        <w:tc>
          <w:tcPr>
            <w:tcW w:w="4851" w:type="dxa"/>
          </w:tcPr>
          <w:p w14:paraId="43751EB5" w14:textId="77777777" w:rsidR="00F0634D" w:rsidRDefault="00F0634D" w:rsidP="00F0634D">
            <w:pPr>
              <w:ind w:firstLine="709"/>
              <w:jc w:val="both"/>
            </w:pPr>
          </w:p>
        </w:tc>
        <w:tc>
          <w:tcPr>
            <w:tcW w:w="4851" w:type="dxa"/>
          </w:tcPr>
          <w:p w14:paraId="7F27CD4F" w14:textId="77777777" w:rsidR="00F0634D" w:rsidRDefault="00F0634D" w:rsidP="00F0634D">
            <w:pPr>
              <w:ind w:firstLine="720"/>
              <w:jc w:val="both"/>
            </w:pPr>
          </w:p>
        </w:tc>
      </w:tr>
      <w:tr w:rsidR="00F0634D" w14:paraId="03D5E725" w14:textId="77777777" w:rsidTr="00474A80">
        <w:trPr>
          <w:trHeight w:val="1"/>
        </w:trPr>
        <w:tc>
          <w:tcPr>
            <w:tcW w:w="4851" w:type="dxa"/>
          </w:tcPr>
          <w:p w14:paraId="4B81660C" w14:textId="5CEA5727" w:rsidR="00F0634D" w:rsidRPr="00C44EE6" w:rsidRDefault="00F0634D" w:rsidP="00F0634D">
            <w:pPr>
              <w:ind w:firstLine="709"/>
              <w:jc w:val="both"/>
            </w:pPr>
            <w:proofErr w:type="spellStart"/>
            <w:r w:rsidRPr="00C44EE6">
              <w:rPr>
                <w:sz w:val="24"/>
              </w:rPr>
              <w:t>Аймактар</w:t>
            </w:r>
            <w:proofErr w:type="spellEnd"/>
            <w:r w:rsidRPr="00C44EE6">
              <w:rPr>
                <w:sz w:val="24"/>
              </w:rPr>
              <w:t xml:space="preserve"> </w:t>
            </w:r>
            <w:proofErr w:type="spellStart"/>
            <w:r w:rsidRPr="00C44EE6">
              <w:rPr>
                <w:sz w:val="24"/>
              </w:rPr>
              <w:t>боюнча</w:t>
            </w:r>
            <w:proofErr w:type="spellEnd"/>
            <w:r w:rsidRPr="00C44EE6">
              <w:rPr>
                <w:sz w:val="24"/>
              </w:rPr>
              <w:t xml:space="preserve"> </w:t>
            </w:r>
            <w:proofErr w:type="spellStart"/>
            <w:r w:rsidRPr="00C44EE6">
              <w:rPr>
                <w:sz w:val="24"/>
              </w:rPr>
              <w:t>жүргүнчүлөрдү</w:t>
            </w:r>
            <w:proofErr w:type="spellEnd"/>
            <w:r w:rsidRPr="00C44EE6">
              <w:rPr>
                <w:sz w:val="24"/>
              </w:rPr>
              <w:t xml:space="preserve"> </w:t>
            </w:r>
            <w:proofErr w:type="spellStart"/>
            <w:r w:rsidRPr="00C44EE6">
              <w:rPr>
                <w:sz w:val="24"/>
              </w:rPr>
              <w:t>ташуу</w:t>
            </w:r>
            <w:proofErr w:type="spellEnd"/>
            <w:r w:rsidRPr="00C44EE6">
              <w:rPr>
                <w:sz w:val="24"/>
              </w:rPr>
              <w:t xml:space="preserve"> </w:t>
            </w:r>
            <w:proofErr w:type="spellStart"/>
            <w:r w:rsidRPr="00C44EE6">
              <w:rPr>
                <w:sz w:val="24"/>
              </w:rPr>
              <w:t>үлүшүнүн</w:t>
            </w:r>
            <w:proofErr w:type="spellEnd"/>
            <w:r w:rsidRPr="00C44EE6">
              <w:rPr>
                <w:sz w:val="24"/>
              </w:rPr>
              <w:t xml:space="preserve"> </w:t>
            </w:r>
            <w:proofErr w:type="spellStart"/>
            <w:r w:rsidRPr="00C44EE6">
              <w:rPr>
                <w:sz w:val="24"/>
              </w:rPr>
              <w:t>эң</w:t>
            </w:r>
            <w:proofErr w:type="spellEnd"/>
            <w:r w:rsidRPr="00C44EE6">
              <w:rPr>
                <w:sz w:val="24"/>
              </w:rPr>
              <w:t xml:space="preserve"> </w:t>
            </w:r>
            <w:proofErr w:type="spellStart"/>
            <w:r w:rsidRPr="00C44EE6">
              <w:rPr>
                <w:sz w:val="24"/>
              </w:rPr>
              <w:t>чоң</w:t>
            </w:r>
            <w:proofErr w:type="spellEnd"/>
            <w:r w:rsidRPr="00C44EE6">
              <w:rPr>
                <w:sz w:val="24"/>
              </w:rPr>
              <w:t xml:space="preserve"> </w:t>
            </w:r>
            <w:proofErr w:type="spellStart"/>
            <w:r w:rsidRPr="00C44EE6">
              <w:rPr>
                <w:sz w:val="24"/>
              </w:rPr>
              <w:t>бөлүгү</w:t>
            </w:r>
            <w:proofErr w:type="spellEnd"/>
            <w:r w:rsidRPr="00C44EE6">
              <w:rPr>
                <w:sz w:val="24"/>
              </w:rPr>
              <w:t xml:space="preserve"> </w:t>
            </w:r>
            <w:proofErr w:type="spellStart"/>
            <w:r w:rsidRPr="00C44EE6">
              <w:rPr>
                <w:sz w:val="24"/>
              </w:rPr>
              <w:t>Жалал</w:t>
            </w:r>
            <w:proofErr w:type="spellEnd"/>
            <w:r w:rsidRPr="00C44EE6">
              <w:rPr>
                <w:sz w:val="24"/>
              </w:rPr>
              <w:t xml:space="preserve">-Абад </w:t>
            </w:r>
            <w:proofErr w:type="spellStart"/>
            <w:r w:rsidRPr="00C44EE6">
              <w:rPr>
                <w:sz w:val="24"/>
              </w:rPr>
              <w:t>шаарында</w:t>
            </w:r>
            <w:proofErr w:type="spellEnd"/>
            <w:r w:rsidRPr="00C44EE6">
              <w:rPr>
                <w:sz w:val="24"/>
              </w:rPr>
              <w:t xml:space="preserve"> </w:t>
            </w:r>
            <w:proofErr w:type="spellStart"/>
            <w:proofErr w:type="gramStart"/>
            <w:r w:rsidRPr="00C44EE6">
              <w:rPr>
                <w:sz w:val="24"/>
              </w:rPr>
              <w:t>болуп</w:t>
            </w:r>
            <w:proofErr w:type="spellEnd"/>
            <w:r w:rsidRPr="00C44EE6">
              <w:rPr>
                <w:sz w:val="24"/>
              </w:rPr>
              <w:t xml:space="preserve">  </w:t>
            </w:r>
            <w:r w:rsidRPr="00C44EE6">
              <w:rPr>
                <w:sz w:val="24"/>
                <w:lang w:val="ky-KG"/>
              </w:rPr>
              <w:t>9</w:t>
            </w:r>
            <w:proofErr w:type="gramEnd"/>
            <w:r w:rsidRPr="00C44EE6">
              <w:rPr>
                <w:sz w:val="24"/>
                <w:lang w:val="ky-KG"/>
              </w:rPr>
              <w:t>,7</w:t>
            </w:r>
            <w:r w:rsidRPr="00C44EE6">
              <w:rPr>
                <w:sz w:val="24"/>
              </w:rPr>
              <w:t xml:space="preserve"> </w:t>
            </w:r>
            <w:proofErr w:type="spellStart"/>
            <w:r w:rsidRPr="00C44EE6">
              <w:rPr>
                <w:sz w:val="24"/>
              </w:rPr>
              <w:t>пайызды</w:t>
            </w:r>
            <w:proofErr w:type="spellEnd"/>
            <w:r w:rsidRPr="00C44EE6">
              <w:rPr>
                <w:sz w:val="24"/>
              </w:rPr>
              <w:t xml:space="preserve"> </w:t>
            </w:r>
            <w:proofErr w:type="spellStart"/>
            <w:r w:rsidRPr="00C44EE6">
              <w:rPr>
                <w:sz w:val="24"/>
              </w:rPr>
              <w:t>түздү</w:t>
            </w:r>
            <w:proofErr w:type="spellEnd"/>
            <w:r w:rsidRPr="00C44EE6">
              <w:rPr>
                <w:sz w:val="24"/>
              </w:rPr>
              <w:t>.</w:t>
            </w:r>
          </w:p>
        </w:tc>
        <w:tc>
          <w:tcPr>
            <w:tcW w:w="4851" w:type="dxa"/>
          </w:tcPr>
          <w:p w14:paraId="3E34A7D6" w14:textId="4110BD1C" w:rsidR="00F0634D" w:rsidRPr="00C44EE6" w:rsidRDefault="00F0634D" w:rsidP="00F0634D">
            <w:pPr>
              <w:ind w:firstLine="720"/>
              <w:jc w:val="both"/>
            </w:pPr>
            <w:r w:rsidRPr="00C44EE6">
              <w:rPr>
                <w:i/>
                <w:sz w:val="24"/>
              </w:rPr>
              <w:t xml:space="preserve">В территориальном разрезе наибольший удельный вес перевозки пассажиров пришелся на </w:t>
            </w:r>
            <w:proofErr w:type="spellStart"/>
            <w:r w:rsidRPr="00C44EE6">
              <w:rPr>
                <w:i/>
                <w:sz w:val="24"/>
              </w:rPr>
              <w:t>г.Джалал</w:t>
            </w:r>
            <w:proofErr w:type="spellEnd"/>
            <w:r w:rsidRPr="00C44EE6">
              <w:rPr>
                <w:i/>
                <w:sz w:val="24"/>
              </w:rPr>
              <w:t xml:space="preserve">-Абад – </w:t>
            </w:r>
            <w:r w:rsidRPr="00C44EE6">
              <w:rPr>
                <w:i/>
                <w:sz w:val="24"/>
                <w:lang w:val="ky-KG"/>
              </w:rPr>
              <w:t>9,</w:t>
            </w:r>
            <w:r w:rsidRPr="00C44EE6">
              <w:rPr>
                <w:i/>
                <w:sz w:val="24"/>
              </w:rPr>
              <w:t>7 процента от общего объема.</w:t>
            </w:r>
          </w:p>
        </w:tc>
        <w:tc>
          <w:tcPr>
            <w:tcW w:w="4851" w:type="dxa"/>
          </w:tcPr>
          <w:p w14:paraId="05178F8B" w14:textId="77777777" w:rsidR="00F0634D" w:rsidRDefault="00F0634D" w:rsidP="00F0634D">
            <w:pPr>
              <w:ind w:firstLine="709"/>
              <w:jc w:val="both"/>
            </w:pPr>
          </w:p>
        </w:tc>
        <w:tc>
          <w:tcPr>
            <w:tcW w:w="4851" w:type="dxa"/>
          </w:tcPr>
          <w:p w14:paraId="73EA6FF4" w14:textId="77777777" w:rsidR="00F0634D" w:rsidRDefault="00F0634D" w:rsidP="00F0634D">
            <w:pPr>
              <w:ind w:firstLine="720"/>
              <w:jc w:val="both"/>
            </w:pPr>
          </w:p>
        </w:tc>
      </w:tr>
      <w:tr w:rsidR="00F0634D" w14:paraId="2AB9BB2C" w14:textId="77777777" w:rsidTr="00474A80">
        <w:trPr>
          <w:trHeight w:val="1"/>
        </w:trPr>
        <w:tc>
          <w:tcPr>
            <w:tcW w:w="4851" w:type="dxa"/>
          </w:tcPr>
          <w:p w14:paraId="40112187" w14:textId="1754ADB4" w:rsidR="00F0634D" w:rsidRPr="00C44EE6" w:rsidRDefault="00F0634D" w:rsidP="00F0634D">
            <w:pPr>
              <w:ind w:firstLine="708"/>
            </w:pPr>
            <w:proofErr w:type="spellStart"/>
            <w:r w:rsidRPr="00C44EE6">
              <w:rPr>
                <w:sz w:val="24"/>
              </w:rPr>
              <w:t>Аймактар</w:t>
            </w:r>
            <w:proofErr w:type="spellEnd"/>
            <w:r w:rsidRPr="00C44EE6">
              <w:rPr>
                <w:sz w:val="24"/>
              </w:rPr>
              <w:t xml:space="preserve"> </w:t>
            </w:r>
            <w:proofErr w:type="spellStart"/>
            <w:r w:rsidRPr="00C44EE6">
              <w:rPr>
                <w:sz w:val="24"/>
              </w:rPr>
              <w:t>боюнча</w:t>
            </w:r>
            <w:proofErr w:type="spellEnd"/>
            <w:r w:rsidRPr="00C44EE6">
              <w:rPr>
                <w:sz w:val="24"/>
              </w:rPr>
              <w:t xml:space="preserve"> </w:t>
            </w:r>
            <w:proofErr w:type="spellStart"/>
            <w:r w:rsidRPr="00C44EE6">
              <w:rPr>
                <w:sz w:val="24"/>
              </w:rPr>
              <w:t>алсак</w:t>
            </w:r>
            <w:proofErr w:type="spellEnd"/>
            <w:r w:rsidRPr="00C44EE6">
              <w:rPr>
                <w:sz w:val="24"/>
              </w:rPr>
              <w:t xml:space="preserve"> </w:t>
            </w:r>
            <w:proofErr w:type="spellStart"/>
            <w:r w:rsidRPr="00C44EE6">
              <w:rPr>
                <w:sz w:val="24"/>
              </w:rPr>
              <w:t>автоунаа</w:t>
            </w:r>
            <w:proofErr w:type="spellEnd"/>
            <w:r w:rsidRPr="00C44EE6">
              <w:rPr>
                <w:sz w:val="24"/>
              </w:rPr>
              <w:t xml:space="preserve"> </w:t>
            </w:r>
            <w:proofErr w:type="spellStart"/>
            <w:r w:rsidRPr="00C44EE6">
              <w:rPr>
                <w:sz w:val="24"/>
              </w:rPr>
              <w:t>менен</w:t>
            </w:r>
            <w:proofErr w:type="spellEnd"/>
            <w:r w:rsidRPr="00C44EE6">
              <w:rPr>
                <w:sz w:val="24"/>
              </w:rPr>
              <w:t xml:space="preserve"> </w:t>
            </w:r>
            <w:proofErr w:type="spellStart"/>
            <w:r w:rsidRPr="00C44EE6">
              <w:rPr>
                <w:sz w:val="24"/>
              </w:rPr>
              <w:t>жүргүнчүлөрдү</w:t>
            </w:r>
            <w:proofErr w:type="spellEnd"/>
            <w:r w:rsidRPr="00C44EE6">
              <w:rPr>
                <w:sz w:val="24"/>
              </w:rPr>
              <w:t xml:space="preserve"> </w:t>
            </w:r>
            <w:proofErr w:type="spellStart"/>
            <w:r w:rsidRPr="00C44EE6">
              <w:rPr>
                <w:sz w:val="24"/>
              </w:rPr>
              <w:t>ташуу</w:t>
            </w:r>
            <w:proofErr w:type="spellEnd"/>
            <w:r w:rsidRPr="00C44EE6">
              <w:rPr>
                <w:sz w:val="24"/>
              </w:rPr>
              <w:t xml:space="preserve"> </w:t>
            </w:r>
            <w:proofErr w:type="spellStart"/>
            <w:r w:rsidRPr="00C44EE6">
              <w:rPr>
                <w:sz w:val="24"/>
              </w:rPr>
              <w:t>шаар</w:t>
            </w:r>
            <w:proofErr w:type="spellEnd"/>
            <w:r w:rsidRPr="00C44EE6">
              <w:rPr>
                <w:sz w:val="24"/>
                <w:lang w:val="ky-KG"/>
              </w:rPr>
              <w:t>-</w:t>
            </w:r>
            <w:proofErr w:type="spellStart"/>
            <w:r w:rsidRPr="00C44EE6">
              <w:rPr>
                <w:sz w:val="24"/>
              </w:rPr>
              <w:t>райондорунда</w:t>
            </w:r>
            <w:proofErr w:type="spellEnd"/>
            <w:r w:rsidRPr="00C44EE6">
              <w:rPr>
                <w:sz w:val="24"/>
              </w:rPr>
              <w:t xml:space="preserve"> </w:t>
            </w:r>
            <w:r w:rsidRPr="00C44EE6">
              <w:rPr>
                <w:sz w:val="24"/>
                <w:lang w:val="ky-KG"/>
              </w:rPr>
              <w:t>1,0</w:t>
            </w:r>
            <w:r w:rsidRPr="00C44EE6">
              <w:rPr>
                <w:sz w:val="24"/>
              </w:rPr>
              <w:t xml:space="preserve"> </w:t>
            </w:r>
            <w:proofErr w:type="spellStart"/>
            <w:r w:rsidRPr="00C44EE6">
              <w:rPr>
                <w:sz w:val="24"/>
              </w:rPr>
              <w:t>пайыздан</w:t>
            </w:r>
            <w:proofErr w:type="spellEnd"/>
            <w:r w:rsidRPr="00C44EE6">
              <w:rPr>
                <w:sz w:val="24"/>
              </w:rPr>
              <w:t xml:space="preserve"> </w:t>
            </w:r>
            <w:r w:rsidRPr="00C44EE6">
              <w:rPr>
                <w:sz w:val="24"/>
                <w:lang w:val="ky-KG"/>
              </w:rPr>
              <w:t>9,7</w:t>
            </w:r>
            <w:r w:rsidRPr="00C44EE6">
              <w:rPr>
                <w:sz w:val="24"/>
              </w:rPr>
              <w:t xml:space="preserve"> </w:t>
            </w:r>
            <w:proofErr w:type="spellStart"/>
            <w:r w:rsidRPr="00C44EE6">
              <w:rPr>
                <w:sz w:val="24"/>
              </w:rPr>
              <w:t>пайызга</w:t>
            </w:r>
            <w:proofErr w:type="spellEnd"/>
            <w:r w:rsidRPr="00C44EE6">
              <w:rPr>
                <w:sz w:val="24"/>
              </w:rPr>
              <w:t xml:space="preserve"> </w:t>
            </w:r>
            <w:proofErr w:type="spellStart"/>
            <w:r w:rsidRPr="00C44EE6">
              <w:rPr>
                <w:sz w:val="24"/>
              </w:rPr>
              <w:t>өткөн</w:t>
            </w:r>
            <w:proofErr w:type="spellEnd"/>
            <w:r w:rsidRPr="00C44EE6">
              <w:rPr>
                <w:sz w:val="24"/>
              </w:rPr>
              <w:t xml:space="preserve"> </w:t>
            </w:r>
            <w:proofErr w:type="spellStart"/>
            <w:r w:rsidRPr="00C44EE6">
              <w:rPr>
                <w:sz w:val="24"/>
              </w:rPr>
              <w:t>жылга</w:t>
            </w:r>
            <w:proofErr w:type="spellEnd"/>
            <w:r w:rsidRPr="00C44EE6">
              <w:rPr>
                <w:sz w:val="24"/>
              </w:rPr>
              <w:t xml:space="preserve"> </w:t>
            </w:r>
            <w:proofErr w:type="spellStart"/>
            <w:r w:rsidRPr="00C44EE6">
              <w:rPr>
                <w:sz w:val="24"/>
              </w:rPr>
              <w:t>салыштырмалуу</w:t>
            </w:r>
            <w:proofErr w:type="spellEnd"/>
            <w:r w:rsidRPr="00C44EE6">
              <w:rPr>
                <w:sz w:val="24"/>
              </w:rPr>
              <w:t xml:space="preserve"> </w:t>
            </w:r>
            <w:r w:rsidRPr="00C44EE6">
              <w:rPr>
                <w:sz w:val="24"/>
                <w:lang w:val="ky-KG"/>
              </w:rPr>
              <w:t>көп</w:t>
            </w:r>
            <w:r w:rsidRPr="00C44EE6">
              <w:rPr>
                <w:sz w:val="24"/>
              </w:rPr>
              <w:t xml:space="preserve">. </w:t>
            </w:r>
          </w:p>
        </w:tc>
        <w:tc>
          <w:tcPr>
            <w:tcW w:w="4851" w:type="dxa"/>
          </w:tcPr>
          <w:p w14:paraId="6C3FFC86" w14:textId="6EDECCCD" w:rsidR="00F0634D" w:rsidRPr="00C44EE6" w:rsidRDefault="00F0634D" w:rsidP="00F0634D">
            <w:pPr>
              <w:ind w:firstLine="720"/>
              <w:jc w:val="both"/>
            </w:pPr>
            <w:r w:rsidRPr="00C44EE6">
              <w:rPr>
                <w:i/>
                <w:sz w:val="24"/>
              </w:rPr>
              <w:t xml:space="preserve">Перевозка пассажиров автомобильным транспортом составил по всем районам и городам от </w:t>
            </w:r>
            <w:r w:rsidRPr="00C44EE6">
              <w:rPr>
                <w:i/>
                <w:sz w:val="24"/>
                <w:lang w:val="ky-KG"/>
              </w:rPr>
              <w:t>1,0-9,</w:t>
            </w:r>
            <w:r w:rsidRPr="00C44EE6">
              <w:rPr>
                <w:i/>
                <w:sz w:val="24"/>
              </w:rPr>
              <w:t xml:space="preserve">7 процентов </w:t>
            </w:r>
            <w:r w:rsidRPr="00C44EE6">
              <w:rPr>
                <w:i/>
                <w:sz w:val="24"/>
                <w:lang w:val="ky-KG"/>
              </w:rPr>
              <w:t>больше</w:t>
            </w:r>
            <w:r w:rsidRPr="00C44EE6">
              <w:rPr>
                <w:i/>
                <w:sz w:val="24"/>
              </w:rPr>
              <w:t xml:space="preserve"> по сравнению с прошлым годом.</w:t>
            </w:r>
          </w:p>
        </w:tc>
        <w:tc>
          <w:tcPr>
            <w:tcW w:w="4851" w:type="dxa"/>
          </w:tcPr>
          <w:p w14:paraId="6DC7A1A1" w14:textId="77777777" w:rsidR="00F0634D" w:rsidRDefault="00F0634D" w:rsidP="00F0634D">
            <w:pPr>
              <w:ind w:firstLine="708"/>
              <w:jc w:val="both"/>
            </w:pPr>
          </w:p>
        </w:tc>
        <w:tc>
          <w:tcPr>
            <w:tcW w:w="4851" w:type="dxa"/>
          </w:tcPr>
          <w:p w14:paraId="1E908E8F" w14:textId="77777777" w:rsidR="00F0634D" w:rsidRDefault="00F0634D" w:rsidP="00F0634D">
            <w:pPr>
              <w:ind w:firstLine="720"/>
              <w:jc w:val="both"/>
            </w:pPr>
          </w:p>
        </w:tc>
      </w:tr>
      <w:tr w:rsidR="00F0634D" w14:paraId="4B0DF93D" w14:textId="77777777" w:rsidTr="00474A80">
        <w:trPr>
          <w:trHeight w:val="1"/>
        </w:trPr>
        <w:tc>
          <w:tcPr>
            <w:tcW w:w="4851" w:type="dxa"/>
            <w:shd w:val="clear" w:color="000000" w:fill="FFFFFF"/>
          </w:tcPr>
          <w:p w14:paraId="324E5BCE" w14:textId="43EFCBD9" w:rsidR="00F0634D" w:rsidRPr="00C44EE6" w:rsidRDefault="00F0634D" w:rsidP="00F0634D">
            <w:pPr>
              <w:ind w:firstLine="708"/>
              <w:jc w:val="both"/>
            </w:pPr>
            <w:r w:rsidRPr="00C44EE6">
              <w:rPr>
                <w:b/>
                <w:sz w:val="24"/>
              </w:rPr>
              <w:t xml:space="preserve">Почта </w:t>
            </w:r>
            <w:proofErr w:type="spellStart"/>
            <w:r w:rsidRPr="00C44EE6">
              <w:rPr>
                <w:b/>
                <w:sz w:val="24"/>
              </w:rPr>
              <w:t>жана</w:t>
            </w:r>
            <w:proofErr w:type="spellEnd"/>
            <w:r w:rsidRPr="00C44EE6">
              <w:rPr>
                <w:b/>
                <w:sz w:val="24"/>
              </w:rPr>
              <w:t xml:space="preserve"> </w:t>
            </w:r>
            <w:proofErr w:type="spellStart"/>
            <w:r w:rsidRPr="00C44EE6">
              <w:rPr>
                <w:b/>
                <w:sz w:val="24"/>
              </w:rPr>
              <w:t>чабарман</w:t>
            </w:r>
            <w:proofErr w:type="spellEnd"/>
            <w:r w:rsidRPr="00C44EE6">
              <w:rPr>
                <w:b/>
                <w:sz w:val="24"/>
              </w:rPr>
              <w:t xml:space="preserve"> </w:t>
            </w:r>
            <w:proofErr w:type="spellStart"/>
            <w:r w:rsidRPr="00C44EE6">
              <w:rPr>
                <w:b/>
                <w:sz w:val="24"/>
              </w:rPr>
              <w:t>ишмердиги</w:t>
            </w:r>
            <w:proofErr w:type="spellEnd"/>
            <w:r w:rsidRPr="00C44EE6">
              <w:rPr>
                <w:sz w:val="24"/>
              </w:rPr>
              <w:t>. 202</w:t>
            </w:r>
            <w:r w:rsidRPr="00C44EE6">
              <w:rPr>
                <w:sz w:val="24"/>
                <w:lang w:val="ky-KG"/>
              </w:rPr>
              <w:t>0</w:t>
            </w:r>
            <w:r w:rsidRPr="00C44EE6">
              <w:rPr>
                <w:sz w:val="24"/>
              </w:rPr>
              <w:t>-</w:t>
            </w:r>
            <w:proofErr w:type="spellStart"/>
            <w:r w:rsidRPr="00C44EE6">
              <w:rPr>
                <w:sz w:val="24"/>
              </w:rPr>
              <w:t>жылдын</w:t>
            </w:r>
            <w:proofErr w:type="spellEnd"/>
            <w:r w:rsidRPr="00C44EE6">
              <w:rPr>
                <w:sz w:val="24"/>
              </w:rPr>
              <w:t xml:space="preserve"> почта </w:t>
            </w:r>
            <w:proofErr w:type="spellStart"/>
            <w:r w:rsidRPr="00C44EE6">
              <w:rPr>
                <w:sz w:val="24"/>
              </w:rPr>
              <w:t>жана</w:t>
            </w:r>
            <w:proofErr w:type="spellEnd"/>
            <w:r w:rsidRPr="00C44EE6">
              <w:rPr>
                <w:sz w:val="24"/>
              </w:rPr>
              <w:t xml:space="preserve"> </w:t>
            </w:r>
            <w:proofErr w:type="spellStart"/>
            <w:r w:rsidRPr="00C44EE6">
              <w:rPr>
                <w:sz w:val="24"/>
              </w:rPr>
              <w:t>чабарман</w:t>
            </w:r>
            <w:proofErr w:type="spellEnd"/>
            <w:r w:rsidRPr="00C44EE6">
              <w:rPr>
                <w:sz w:val="24"/>
              </w:rPr>
              <w:t xml:space="preserve"> </w:t>
            </w:r>
            <w:proofErr w:type="spellStart"/>
            <w:r w:rsidRPr="00C44EE6">
              <w:rPr>
                <w:sz w:val="24"/>
              </w:rPr>
              <w:t>ишмердигинин</w:t>
            </w:r>
            <w:proofErr w:type="spellEnd"/>
            <w:r w:rsidRPr="00C44EE6">
              <w:rPr>
                <w:sz w:val="24"/>
              </w:rPr>
              <w:t xml:space="preserve"> </w:t>
            </w:r>
            <w:proofErr w:type="spellStart"/>
            <w:r w:rsidRPr="00C44EE6">
              <w:rPr>
                <w:sz w:val="24"/>
              </w:rPr>
              <w:t>кызмат</w:t>
            </w:r>
            <w:proofErr w:type="spellEnd"/>
            <w:r w:rsidRPr="00C44EE6">
              <w:rPr>
                <w:sz w:val="24"/>
              </w:rPr>
              <w:t xml:space="preserve"> </w:t>
            </w:r>
            <w:proofErr w:type="spellStart"/>
            <w:r w:rsidRPr="00C44EE6">
              <w:rPr>
                <w:sz w:val="24"/>
              </w:rPr>
              <w:t>көрсөтүүлөрүнөн</w:t>
            </w:r>
            <w:proofErr w:type="spellEnd"/>
            <w:r w:rsidRPr="00C44EE6">
              <w:rPr>
                <w:sz w:val="24"/>
              </w:rPr>
              <w:t xml:space="preserve"> </w:t>
            </w:r>
            <w:proofErr w:type="spellStart"/>
            <w:r w:rsidRPr="00C44EE6">
              <w:rPr>
                <w:sz w:val="24"/>
              </w:rPr>
              <w:t>түшкөн</w:t>
            </w:r>
            <w:proofErr w:type="spellEnd"/>
            <w:r w:rsidRPr="00C44EE6">
              <w:rPr>
                <w:sz w:val="24"/>
              </w:rPr>
              <w:t xml:space="preserve"> </w:t>
            </w:r>
            <w:proofErr w:type="spellStart"/>
            <w:r w:rsidRPr="00C44EE6">
              <w:rPr>
                <w:sz w:val="24"/>
              </w:rPr>
              <w:t>кирешелер</w:t>
            </w:r>
            <w:proofErr w:type="spellEnd"/>
            <w:r w:rsidRPr="00C44EE6">
              <w:rPr>
                <w:sz w:val="24"/>
              </w:rPr>
              <w:t xml:space="preserve"> 20</w:t>
            </w:r>
            <w:r w:rsidRPr="00C44EE6">
              <w:rPr>
                <w:sz w:val="24"/>
                <w:lang w:val="ky-KG"/>
              </w:rPr>
              <w:t>24</w:t>
            </w:r>
            <w:r w:rsidRPr="00C44EE6">
              <w:rPr>
                <w:sz w:val="24"/>
              </w:rPr>
              <w:t>-</w:t>
            </w:r>
            <w:proofErr w:type="spellStart"/>
            <w:r w:rsidRPr="00C44EE6">
              <w:rPr>
                <w:sz w:val="24"/>
              </w:rPr>
              <w:t>жылга</w:t>
            </w:r>
            <w:proofErr w:type="spellEnd"/>
            <w:r w:rsidRPr="00C44EE6">
              <w:rPr>
                <w:sz w:val="24"/>
              </w:rPr>
              <w:t xml:space="preserve"> </w:t>
            </w:r>
            <w:proofErr w:type="spellStart"/>
            <w:r w:rsidRPr="00C44EE6">
              <w:rPr>
                <w:sz w:val="24"/>
              </w:rPr>
              <w:t>салыштырмалуу</w:t>
            </w:r>
            <w:proofErr w:type="spellEnd"/>
            <w:r w:rsidRPr="00C44EE6">
              <w:rPr>
                <w:sz w:val="24"/>
              </w:rPr>
              <w:t xml:space="preserve"> </w:t>
            </w:r>
            <w:r w:rsidRPr="00C44EE6">
              <w:rPr>
                <w:sz w:val="24"/>
                <w:lang w:val="ky-KG"/>
              </w:rPr>
              <w:t xml:space="preserve">24,0 </w:t>
            </w:r>
            <w:proofErr w:type="spellStart"/>
            <w:r w:rsidRPr="00C44EE6">
              <w:rPr>
                <w:sz w:val="24"/>
              </w:rPr>
              <w:t>пайызга</w:t>
            </w:r>
            <w:proofErr w:type="spellEnd"/>
            <w:r w:rsidRPr="00C44EE6">
              <w:rPr>
                <w:sz w:val="24"/>
              </w:rPr>
              <w:t xml:space="preserve"> </w:t>
            </w:r>
            <w:r w:rsidRPr="00C44EE6">
              <w:rPr>
                <w:sz w:val="24"/>
                <w:lang w:val="ky-KG"/>
              </w:rPr>
              <w:t>көбөйүп</w:t>
            </w:r>
            <w:r w:rsidRPr="00C44EE6">
              <w:rPr>
                <w:sz w:val="24"/>
              </w:rPr>
              <w:t xml:space="preserve"> </w:t>
            </w:r>
            <w:r w:rsidRPr="00C44EE6">
              <w:rPr>
                <w:sz w:val="24"/>
                <w:lang w:val="ky-KG"/>
              </w:rPr>
              <w:t>84,5</w:t>
            </w:r>
            <w:r w:rsidRPr="00C44EE6">
              <w:rPr>
                <w:sz w:val="24"/>
              </w:rPr>
              <w:t xml:space="preserve"> млн. </w:t>
            </w:r>
            <w:proofErr w:type="spellStart"/>
            <w:r w:rsidRPr="00C44EE6">
              <w:rPr>
                <w:sz w:val="24"/>
              </w:rPr>
              <w:t>сомду</w:t>
            </w:r>
            <w:proofErr w:type="spellEnd"/>
            <w:r w:rsidRPr="00C44EE6">
              <w:rPr>
                <w:sz w:val="24"/>
              </w:rPr>
              <w:t xml:space="preserve"> </w:t>
            </w:r>
            <w:proofErr w:type="spellStart"/>
            <w:r w:rsidRPr="00C44EE6">
              <w:rPr>
                <w:sz w:val="24"/>
              </w:rPr>
              <w:t>түздү</w:t>
            </w:r>
            <w:proofErr w:type="spellEnd"/>
            <w:r w:rsidRPr="00C44EE6">
              <w:rPr>
                <w:sz w:val="24"/>
                <w:lang w:val="ky-KG"/>
              </w:rPr>
              <w:t xml:space="preserve"> </w:t>
            </w:r>
            <w:r w:rsidRPr="00C44EE6">
              <w:rPr>
                <w:sz w:val="24"/>
              </w:rPr>
              <w:t>(</w:t>
            </w:r>
            <w:proofErr w:type="spellStart"/>
            <w:r w:rsidRPr="00C44EE6">
              <w:rPr>
                <w:sz w:val="24"/>
              </w:rPr>
              <w:t>Тиркемелер</w:t>
            </w:r>
            <w:proofErr w:type="spellEnd"/>
            <w:r w:rsidRPr="00C44EE6">
              <w:rPr>
                <w:sz w:val="24"/>
              </w:rPr>
              <w:t xml:space="preserve"> таблица 8.2)</w:t>
            </w:r>
          </w:p>
        </w:tc>
        <w:tc>
          <w:tcPr>
            <w:tcW w:w="4851" w:type="dxa"/>
            <w:shd w:val="clear" w:color="000000" w:fill="FFFFFF"/>
          </w:tcPr>
          <w:p w14:paraId="0324B8FE" w14:textId="6625CDAC" w:rsidR="00F0634D" w:rsidRPr="00C44EE6" w:rsidRDefault="00F0634D" w:rsidP="00F0634D">
            <w:pPr>
              <w:ind w:firstLine="708"/>
              <w:jc w:val="both"/>
            </w:pPr>
            <w:r w:rsidRPr="00C44EE6">
              <w:rPr>
                <w:b/>
                <w:i/>
                <w:sz w:val="24"/>
              </w:rPr>
              <w:t>Почтовая и курьерская деятельность.</w:t>
            </w:r>
            <w:r w:rsidRPr="00C44EE6">
              <w:rPr>
                <w:i/>
                <w:sz w:val="24"/>
              </w:rPr>
              <w:t xml:space="preserve"> Доходы от услуг почтовой и курьерской деятельности в 2024 году по сравнению с 20</w:t>
            </w:r>
            <w:r w:rsidRPr="00C44EE6">
              <w:rPr>
                <w:i/>
                <w:sz w:val="24"/>
                <w:lang w:val="ky-KG"/>
              </w:rPr>
              <w:t>2</w:t>
            </w:r>
            <w:r w:rsidRPr="00C44EE6">
              <w:rPr>
                <w:i/>
                <w:sz w:val="24"/>
              </w:rPr>
              <w:t xml:space="preserve">0 г. </w:t>
            </w:r>
            <w:r w:rsidRPr="00C44EE6">
              <w:rPr>
                <w:i/>
                <w:sz w:val="24"/>
                <w:lang w:val="ky-KG"/>
              </w:rPr>
              <w:t>увеличилось</w:t>
            </w:r>
            <w:r w:rsidRPr="00C44EE6">
              <w:rPr>
                <w:i/>
                <w:sz w:val="24"/>
              </w:rPr>
              <w:t xml:space="preserve"> на </w:t>
            </w:r>
            <w:r w:rsidRPr="00C44EE6">
              <w:rPr>
                <w:i/>
                <w:sz w:val="24"/>
                <w:lang w:val="ky-KG"/>
              </w:rPr>
              <w:t>24,0</w:t>
            </w:r>
            <w:r w:rsidRPr="00C44EE6">
              <w:rPr>
                <w:i/>
                <w:sz w:val="24"/>
              </w:rPr>
              <w:t xml:space="preserve"> процента и составили </w:t>
            </w:r>
            <w:r w:rsidRPr="00C44EE6">
              <w:rPr>
                <w:i/>
                <w:sz w:val="24"/>
                <w:lang w:val="ky-KG"/>
              </w:rPr>
              <w:t>84,5</w:t>
            </w:r>
            <w:r w:rsidRPr="00C44EE6">
              <w:rPr>
                <w:i/>
                <w:sz w:val="24"/>
              </w:rPr>
              <w:t xml:space="preserve"> млн. сомов. (</w:t>
            </w:r>
            <w:proofErr w:type="spellStart"/>
            <w:proofErr w:type="gramStart"/>
            <w:r w:rsidRPr="00C44EE6">
              <w:rPr>
                <w:i/>
                <w:sz w:val="24"/>
              </w:rPr>
              <w:t>Приложение:таблица</w:t>
            </w:r>
            <w:proofErr w:type="spellEnd"/>
            <w:proofErr w:type="gramEnd"/>
            <w:r w:rsidRPr="00C44EE6">
              <w:rPr>
                <w:i/>
                <w:sz w:val="24"/>
              </w:rPr>
              <w:t xml:space="preserve"> 8.2)</w:t>
            </w:r>
          </w:p>
        </w:tc>
        <w:tc>
          <w:tcPr>
            <w:tcW w:w="4851" w:type="dxa"/>
            <w:shd w:val="clear" w:color="000000" w:fill="FFFFFF"/>
          </w:tcPr>
          <w:p w14:paraId="32D9A2DE" w14:textId="77777777" w:rsidR="00F0634D" w:rsidRDefault="00F0634D" w:rsidP="00F0634D">
            <w:pPr>
              <w:ind w:firstLine="708"/>
              <w:jc w:val="both"/>
            </w:pPr>
          </w:p>
        </w:tc>
        <w:tc>
          <w:tcPr>
            <w:tcW w:w="4851" w:type="dxa"/>
            <w:shd w:val="clear" w:color="000000" w:fill="FFFFFF"/>
          </w:tcPr>
          <w:p w14:paraId="6249FA23" w14:textId="77777777" w:rsidR="00F0634D" w:rsidRDefault="00F0634D" w:rsidP="00F0634D">
            <w:pPr>
              <w:ind w:firstLine="708"/>
              <w:jc w:val="both"/>
            </w:pPr>
          </w:p>
        </w:tc>
      </w:tr>
      <w:tr w:rsidR="00F0634D" w14:paraId="68940604" w14:textId="77777777" w:rsidTr="00474A80">
        <w:trPr>
          <w:trHeight w:val="1"/>
        </w:trPr>
        <w:tc>
          <w:tcPr>
            <w:tcW w:w="4851" w:type="dxa"/>
            <w:shd w:val="clear" w:color="000000" w:fill="FFFFFF"/>
          </w:tcPr>
          <w:p w14:paraId="721F81E8" w14:textId="0A4851D8" w:rsidR="00F0634D" w:rsidRPr="00C44EE6" w:rsidRDefault="00F0634D" w:rsidP="00F0634D">
            <w:pPr>
              <w:ind w:firstLine="708"/>
              <w:jc w:val="both"/>
              <w:rPr>
                <w:lang w:val="ky-KG"/>
              </w:rPr>
            </w:pPr>
            <w:proofErr w:type="spellStart"/>
            <w:r w:rsidRPr="00C44EE6">
              <w:rPr>
                <w:b/>
                <w:sz w:val="24"/>
                <w:szCs w:val="24"/>
              </w:rPr>
              <w:t>Байланыш</w:t>
            </w:r>
            <w:proofErr w:type="spellEnd"/>
            <w:r w:rsidRPr="00C44EE6">
              <w:rPr>
                <w:b/>
                <w:sz w:val="24"/>
                <w:szCs w:val="24"/>
              </w:rPr>
              <w:t>.</w:t>
            </w:r>
            <w:r w:rsidRPr="00C44EE6">
              <w:rPr>
                <w:sz w:val="24"/>
                <w:szCs w:val="24"/>
              </w:rPr>
              <w:t xml:space="preserve"> </w:t>
            </w:r>
            <w:proofErr w:type="spellStart"/>
            <w:r w:rsidRPr="00C44EE6">
              <w:rPr>
                <w:sz w:val="24"/>
                <w:szCs w:val="24"/>
              </w:rPr>
              <w:t>Байланыш</w:t>
            </w:r>
            <w:proofErr w:type="spellEnd"/>
            <w:r w:rsidRPr="00C44EE6">
              <w:rPr>
                <w:sz w:val="24"/>
                <w:szCs w:val="24"/>
              </w:rPr>
              <w:t xml:space="preserve"> </w:t>
            </w:r>
            <w:proofErr w:type="spellStart"/>
            <w:r w:rsidRPr="00C44EE6">
              <w:rPr>
                <w:sz w:val="24"/>
                <w:szCs w:val="24"/>
              </w:rPr>
              <w:t>кызмат</w:t>
            </w:r>
            <w:proofErr w:type="spellEnd"/>
            <w:r w:rsidRPr="00C44EE6">
              <w:rPr>
                <w:sz w:val="24"/>
                <w:szCs w:val="24"/>
              </w:rPr>
              <w:t xml:space="preserve"> </w:t>
            </w:r>
            <w:proofErr w:type="spellStart"/>
            <w:r w:rsidRPr="00C44EE6">
              <w:rPr>
                <w:sz w:val="24"/>
                <w:szCs w:val="24"/>
              </w:rPr>
              <w:t>көрсөтүү</w:t>
            </w:r>
            <w:proofErr w:type="spellEnd"/>
            <w:r w:rsidRPr="00C44EE6">
              <w:rPr>
                <w:sz w:val="24"/>
                <w:szCs w:val="24"/>
              </w:rPr>
              <w:t xml:space="preserve"> </w:t>
            </w:r>
            <w:proofErr w:type="spellStart"/>
            <w:r w:rsidRPr="00C44EE6">
              <w:rPr>
                <w:sz w:val="24"/>
                <w:szCs w:val="24"/>
              </w:rPr>
              <w:t>мекемелеринен</w:t>
            </w:r>
            <w:proofErr w:type="spellEnd"/>
            <w:r w:rsidRPr="00C44EE6">
              <w:rPr>
                <w:sz w:val="24"/>
                <w:szCs w:val="24"/>
              </w:rPr>
              <w:t xml:space="preserve"> </w:t>
            </w:r>
            <w:proofErr w:type="spellStart"/>
            <w:r w:rsidRPr="00C44EE6">
              <w:rPr>
                <w:sz w:val="24"/>
                <w:szCs w:val="24"/>
              </w:rPr>
              <w:t>түшкөн</w:t>
            </w:r>
            <w:proofErr w:type="spellEnd"/>
            <w:r w:rsidRPr="00C44EE6">
              <w:rPr>
                <w:sz w:val="24"/>
                <w:szCs w:val="24"/>
              </w:rPr>
              <w:t xml:space="preserve"> </w:t>
            </w:r>
            <w:proofErr w:type="spellStart"/>
            <w:r w:rsidRPr="00C44EE6">
              <w:rPr>
                <w:sz w:val="24"/>
                <w:szCs w:val="24"/>
              </w:rPr>
              <w:t>кирешелер</w:t>
            </w:r>
            <w:proofErr w:type="spellEnd"/>
            <w:r w:rsidRPr="00C44EE6">
              <w:rPr>
                <w:sz w:val="24"/>
                <w:szCs w:val="24"/>
              </w:rPr>
              <w:t xml:space="preserve"> 202</w:t>
            </w:r>
            <w:r w:rsidRPr="00C44EE6">
              <w:rPr>
                <w:sz w:val="24"/>
                <w:szCs w:val="24"/>
                <w:lang w:val="ky-KG"/>
              </w:rPr>
              <w:t>4</w:t>
            </w:r>
            <w:r w:rsidRPr="00C44EE6">
              <w:rPr>
                <w:sz w:val="24"/>
                <w:szCs w:val="24"/>
              </w:rPr>
              <w:t>-</w:t>
            </w:r>
            <w:proofErr w:type="spellStart"/>
            <w:r w:rsidRPr="00C44EE6">
              <w:rPr>
                <w:sz w:val="24"/>
                <w:szCs w:val="24"/>
              </w:rPr>
              <w:t>жылы</w:t>
            </w:r>
            <w:proofErr w:type="spellEnd"/>
            <w:r w:rsidRPr="00C44EE6">
              <w:rPr>
                <w:sz w:val="24"/>
                <w:szCs w:val="24"/>
              </w:rPr>
              <w:t xml:space="preserve"> </w:t>
            </w:r>
            <w:r w:rsidRPr="00C44EE6">
              <w:rPr>
                <w:sz w:val="24"/>
                <w:szCs w:val="24"/>
                <w:lang w:val="ky-KG"/>
              </w:rPr>
              <w:t>126,0</w:t>
            </w:r>
            <w:r w:rsidRPr="00C44EE6">
              <w:rPr>
                <w:sz w:val="24"/>
                <w:szCs w:val="24"/>
              </w:rPr>
              <w:t xml:space="preserve"> млн. </w:t>
            </w:r>
            <w:proofErr w:type="spellStart"/>
            <w:r w:rsidRPr="00C44EE6">
              <w:rPr>
                <w:sz w:val="24"/>
                <w:szCs w:val="24"/>
              </w:rPr>
              <w:t>сомду</w:t>
            </w:r>
            <w:proofErr w:type="spellEnd"/>
            <w:r w:rsidRPr="00C44EE6">
              <w:rPr>
                <w:sz w:val="24"/>
                <w:szCs w:val="24"/>
              </w:rPr>
              <w:t xml:space="preserve"> </w:t>
            </w:r>
            <w:proofErr w:type="spellStart"/>
            <w:r w:rsidRPr="00C44EE6">
              <w:rPr>
                <w:sz w:val="24"/>
                <w:szCs w:val="24"/>
              </w:rPr>
              <w:t>түзүп</w:t>
            </w:r>
            <w:proofErr w:type="spellEnd"/>
            <w:r w:rsidRPr="00C44EE6">
              <w:rPr>
                <w:sz w:val="24"/>
                <w:szCs w:val="24"/>
              </w:rPr>
              <w:t xml:space="preserve">, </w:t>
            </w:r>
            <w:proofErr w:type="spellStart"/>
            <w:r w:rsidRPr="00C44EE6">
              <w:rPr>
                <w:sz w:val="24"/>
                <w:szCs w:val="24"/>
              </w:rPr>
              <w:t>өткөн</w:t>
            </w:r>
            <w:proofErr w:type="spellEnd"/>
            <w:r w:rsidRPr="00C44EE6">
              <w:rPr>
                <w:sz w:val="24"/>
                <w:szCs w:val="24"/>
              </w:rPr>
              <w:t xml:space="preserve"> </w:t>
            </w:r>
            <w:proofErr w:type="spellStart"/>
            <w:r w:rsidRPr="00C44EE6">
              <w:rPr>
                <w:sz w:val="24"/>
                <w:szCs w:val="24"/>
              </w:rPr>
              <w:t>жылдын</w:t>
            </w:r>
            <w:proofErr w:type="spellEnd"/>
            <w:r w:rsidRPr="00C44EE6">
              <w:rPr>
                <w:sz w:val="24"/>
                <w:szCs w:val="24"/>
              </w:rPr>
              <w:t xml:space="preserve"> </w:t>
            </w:r>
            <w:proofErr w:type="spellStart"/>
            <w:r w:rsidRPr="00C44EE6">
              <w:rPr>
                <w:sz w:val="24"/>
                <w:szCs w:val="24"/>
              </w:rPr>
              <w:t>ушул</w:t>
            </w:r>
            <w:proofErr w:type="spellEnd"/>
            <w:r w:rsidRPr="00C44EE6">
              <w:rPr>
                <w:sz w:val="24"/>
                <w:szCs w:val="24"/>
              </w:rPr>
              <w:t xml:space="preserve"> эле </w:t>
            </w:r>
            <w:proofErr w:type="spellStart"/>
            <w:r w:rsidRPr="00C44EE6">
              <w:rPr>
                <w:sz w:val="24"/>
                <w:szCs w:val="24"/>
              </w:rPr>
              <w:t>мезгилине</w:t>
            </w:r>
            <w:proofErr w:type="spellEnd"/>
            <w:r w:rsidRPr="00C44EE6">
              <w:rPr>
                <w:sz w:val="24"/>
                <w:szCs w:val="24"/>
              </w:rPr>
              <w:t xml:space="preserve"> </w:t>
            </w:r>
            <w:proofErr w:type="spellStart"/>
            <w:r w:rsidRPr="00C44EE6">
              <w:rPr>
                <w:sz w:val="24"/>
                <w:szCs w:val="24"/>
              </w:rPr>
              <w:t>салыштырмалуу</w:t>
            </w:r>
            <w:proofErr w:type="spellEnd"/>
            <w:r w:rsidRPr="00C44EE6">
              <w:rPr>
                <w:sz w:val="24"/>
                <w:szCs w:val="24"/>
              </w:rPr>
              <w:t xml:space="preserve"> </w:t>
            </w:r>
            <w:r w:rsidRPr="00C44EE6">
              <w:rPr>
                <w:sz w:val="24"/>
                <w:szCs w:val="24"/>
                <w:lang w:val="ky-KG"/>
              </w:rPr>
              <w:t>97,7</w:t>
            </w:r>
            <w:r w:rsidRPr="00C44EE6">
              <w:rPr>
                <w:sz w:val="24"/>
                <w:szCs w:val="24"/>
              </w:rPr>
              <w:t xml:space="preserve"> </w:t>
            </w:r>
            <w:proofErr w:type="spellStart"/>
            <w:r w:rsidRPr="00C44EE6">
              <w:rPr>
                <w:sz w:val="24"/>
                <w:szCs w:val="24"/>
              </w:rPr>
              <w:t>пайызга</w:t>
            </w:r>
            <w:proofErr w:type="spellEnd"/>
            <w:r w:rsidRPr="00C44EE6">
              <w:rPr>
                <w:sz w:val="24"/>
                <w:szCs w:val="24"/>
              </w:rPr>
              <w:t xml:space="preserve"> </w:t>
            </w:r>
            <w:proofErr w:type="gramStart"/>
            <w:r w:rsidRPr="00C44EE6">
              <w:rPr>
                <w:sz w:val="24"/>
                <w:szCs w:val="24"/>
                <w:lang w:val="ky-KG"/>
              </w:rPr>
              <w:t>азайган</w:t>
            </w:r>
            <w:r w:rsidRPr="00C44EE6">
              <w:rPr>
                <w:sz w:val="24"/>
                <w:szCs w:val="24"/>
              </w:rPr>
              <w:t>.(</w:t>
            </w:r>
            <w:proofErr w:type="spellStart"/>
            <w:proofErr w:type="gramEnd"/>
            <w:r w:rsidRPr="00C44EE6">
              <w:rPr>
                <w:sz w:val="24"/>
                <w:szCs w:val="24"/>
              </w:rPr>
              <w:t>Тиркемелер</w:t>
            </w:r>
            <w:proofErr w:type="spellEnd"/>
            <w:r w:rsidRPr="00C44EE6">
              <w:rPr>
                <w:sz w:val="24"/>
                <w:szCs w:val="24"/>
              </w:rPr>
              <w:t xml:space="preserve"> таблица 8.</w:t>
            </w:r>
            <w:r w:rsidRPr="00C44EE6">
              <w:rPr>
                <w:sz w:val="24"/>
                <w:szCs w:val="24"/>
                <w:lang w:val="ky-KG"/>
              </w:rPr>
              <w:t>1</w:t>
            </w:r>
            <w:r w:rsidRPr="00C44EE6">
              <w:rPr>
                <w:sz w:val="24"/>
                <w:szCs w:val="24"/>
              </w:rPr>
              <w:t>)</w:t>
            </w:r>
            <w:r w:rsidRPr="00C44EE6">
              <w:rPr>
                <w:sz w:val="24"/>
                <w:szCs w:val="24"/>
                <w:lang w:val="ky-KG"/>
              </w:rPr>
              <w:t>.</w:t>
            </w:r>
          </w:p>
        </w:tc>
        <w:tc>
          <w:tcPr>
            <w:tcW w:w="4851" w:type="dxa"/>
            <w:shd w:val="clear" w:color="000000" w:fill="FFFFFF"/>
          </w:tcPr>
          <w:p w14:paraId="3DC79EF0" w14:textId="43A04E8C" w:rsidR="00F0634D" w:rsidRPr="00C44EE6" w:rsidRDefault="00F0634D" w:rsidP="00F0634D">
            <w:pPr>
              <w:ind w:firstLine="708"/>
              <w:jc w:val="both"/>
              <w:rPr>
                <w:lang w:val="ky-KG"/>
              </w:rPr>
            </w:pPr>
            <w:r w:rsidRPr="00C44EE6">
              <w:rPr>
                <w:b/>
                <w:i/>
                <w:sz w:val="24"/>
                <w:szCs w:val="24"/>
              </w:rPr>
              <w:t>Связь.</w:t>
            </w:r>
            <w:r w:rsidRPr="00C44EE6">
              <w:rPr>
                <w:i/>
                <w:sz w:val="24"/>
                <w:szCs w:val="24"/>
              </w:rPr>
              <w:t xml:space="preserve"> Доходы, полученные от предоставления услуг связи, в 202</w:t>
            </w:r>
            <w:r w:rsidRPr="00C44EE6">
              <w:rPr>
                <w:i/>
                <w:sz w:val="24"/>
                <w:szCs w:val="24"/>
                <w:lang w:val="ky-KG"/>
              </w:rPr>
              <w:t>4</w:t>
            </w:r>
            <w:r w:rsidRPr="00C44EE6">
              <w:rPr>
                <w:i/>
                <w:sz w:val="24"/>
                <w:szCs w:val="24"/>
              </w:rPr>
              <w:t xml:space="preserve"> году составили </w:t>
            </w:r>
            <w:r w:rsidRPr="00C44EE6">
              <w:rPr>
                <w:i/>
                <w:sz w:val="24"/>
                <w:szCs w:val="24"/>
                <w:lang w:val="ky-KG"/>
              </w:rPr>
              <w:t>126,0</w:t>
            </w:r>
            <w:r w:rsidRPr="00C44EE6">
              <w:rPr>
                <w:i/>
                <w:sz w:val="24"/>
                <w:szCs w:val="24"/>
              </w:rPr>
              <w:t xml:space="preserve"> млн. сомов и по сравнению с соответствующим периодом прошлого года </w:t>
            </w:r>
            <w:proofErr w:type="spellStart"/>
            <w:r w:rsidRPr="00C44EE6">
              <w:rPr>
                <w:i/>
                <w:sz w:val="24"/>
                <w:szCs w:val="24"/>
              </w:rPr>
              <w:t>состави</w:t>
            </w:r>
            <w:proofErr w:type="spellEnd"/>
            <w:r w:rsidRPr="00C44EE6">
              <w:rPr>
                <w:i/>
                <w:sz w:val="24"/>
                <w:szCs w:val="24"/>
                <w:lang w:val="ky-KG"/>
              </w:rPr>
              <w:t>л</w:t>
            </w:r>
            <w:r w:rsidRPr="00C44EE6">
              <w:rPr>
                <w:i/>
                <w:sz w:val="24"/>
                <w:szCs w:val="24"/>
              </w:rPr>
              <w:t xml:space="preserve"> </w:t>
            </w:r>
            <w:r w:rsidRPr="00C44EE6">
              <w:rPr>
                <w:i/>
                <w:sz w:val="24"/>
                <w:szCs w:val="24"/>
                <w:lang w:val="ky-KG"/>
              </w:rPr>
              <w:t>9</w:t>
            </w:r>
            <w:r w:rsidRPr="00C44EE6">
              <w:rPr>
                <w:sz w:val="24"/>
                <w:szCs w:val="24"/>
                <w:lang w:val="ky-KG"/>
              </w:rPr>
              <w:t>7,7</w:t>
            </w:r>
            <w:r w:rsidRPr="00C44EE6">
              <w:rPr>
                <w:i/>
                <w:sz w:val="24"/>
                <w:szCs w:val="24"/>
              </w:rPr>
              <w:t xml:space="preserve"> процента</w:t>
            </w:r>
            <w:r w:rsidRPr="00C44EE6">
              <w:rPr>
                <w:i/>
                <w:sz w:val="24"/>
                <w:szCs w:val="24"/>
                <w:lang w:val="ky-KG"/>
              </w:rPr>
              <w:t xml:space="preserve"> </w:t>
            </w:r>
            <w:r w:rsidRPr="00C44EE6">
              <w:rPr>
                <w:i/>
                <w:sz w:val="24"/>
                <w:szCs w:val="24"/>
              </w:rPr>
              <w:t>(</w:t>
            </w:r>
            <w:proofErr w:type="spellStart"/>
            <w:proofErr w:type="gramStart"/>
            <w:r w:rsidRPr="00C44EE6">
              <w:rPr>
                <w:i/>
                <w:sz w:val="24"/>
                <w:szCs w:val="24"/>
              </w:rPr>
              <w:t>Приложение:таблица</w:t>
            </w:r>
            <w:proofErr w:type="spellEnd"/>
            <w:proofErr w:type="gramEnd"/>
            <w:r w:rsidRPr="00C44EE6">
              <w:rPr>
                <w:i/>
                <w:sz w:val="24"/>
                <w:szCs w:val="24"/>
              </w:rPr>
              <w:t xml:space="preserve"> 8.</w:t>
            </w:r>
            <w:r w:rsidRPr="00C44EE6">
              <w:rPr>
                <w:i/>
                <w:sz w:val="24"/>
                <w:szCs w:val="24"/>
                <w:lang w:val="ky-KG"/>
              </w:rPr>
              <w:t>1</w:t>
            </w:r>
            <w:r w:rsidRPr="00C44EE6">
              <w:rPr>
                <w:i/>
                <w:sz w:val="24"/>
                <w:szCs w:val="24"/>
              </w:rPr>
              <w:t>)</w:t>
            </w:r>
            <w:r w:rsidRPr="00C44EE6">
              <w:rPr>
                <w:i/>
                <w:sz w:val="24"/>
                <w:szCs w:val="24"/>
                <w:lang w:val="ky-KG"/>
              </w:rPr>
              <w:t>.</w:t>
            </w:r>
          </w:p>
        </w:tc>
        <w:tc>
          <w:tcPr>
            <w:tcW w:w="4851" w:type="dxa"/>
            <w:shd w:val="clear" w:color="000000" w:fill="FFFFFF"/>
          </w:tcPr>
          <w:p w14:paraId="2E292831" w14:textId="77777777" w:rsidR="00F0634D" w:rsidRPr="00E60329" w:rsidRDefault="00F0634D" w:rsidP="00F0634D">
            <w:pPr>
              <w:ind w:firstLine="708"/>
              <w:jc w:val="both"/>
              <w:rPr>
                <w:lang w:val="ky-KG"/>
              </w:rPr>
            </w:pPr>
          </w:p>
        </w:tc>
        <w:tc>
          <w:tcPr>
            <w:tcW w:w="4851" w:type="dxa"/>
            <w:shd w:val="clear" w:color="000000" w:fill="FFFFFF"/>
          </w:tcPr>
          <w:p w14:paraId="7BF7B2D1" w14:textId="77777777" w:rsidR="00F0634D" w:rsidRPr="00E60329" w:rsidRDefault="00F0634D" w:rsidP="00F0634D">
            <w:pPr>
              <w:ind w:firstLine="708"/>
              <w:jc w:val="both"/>
              <w:rPr>
                <w:lang w:val="ky-KG"/>
              </w:rPr>
            </w:pPr>
          </w:p>
        </w:tc>
      </w:tr>
    </w:tbl>
    <w:p w14:paraId="11B7BEAB" w14:textId="77777777" w:rsidR="00594384" w:rsidRDefault="00594384" w:rsidP="00594384">
      <w:pPr>
        <w:ind w:firstLine="708"/>
        <w:rPr>
          <w:sz w:val="24"/>
          <w:shd w:val="clear" w:color="auto" w:fill="FFFF00"/>
        </w:rPr>
      </w:pPr>
    </w:p>
    <w:tbl>
      <w:tblPr>
        <w:tblW w:w="9497" w:type="dxa"/>
        <w:tblInd w:w="250" w:type="dxa"/>
        <w:tblLook w:val="04A0" w:firstRow="1" w:lastRow="0" w:firstColumn="1" w:lastColumn="0" w:noHBand="0" w:noVBand="1"/>
      </w:tblPr>
      <w:tblGrid>
        <w:gridCol w:w="4820"/>
        <w:gridCol w:w="4677"/>
      </w:tblGrid>
      <w:tr w:rsidR="00343323" w:rsidRPr="00947ABD" w14:paraId="2A42D61E" w14:textId="77777777" w:rsidTr="004D68D3">
        <w:tc>
          <w:tcPr>
            <w:tcW w:w="4820" w:type="dxa"/>
          </w:tcPr>
          <w:p w14:paraId="7F9C3EC8" w14:textId="36AD7628" w:rsidR="00343323" w:rsidRPr="00C44EE6" w:rsidRDefault="00343323" w:rsidP="00343323">
            <w:pPr>
              <w:ind w:firstLine="708"/>
              <w:jc w:val="both"/>
              <w:rPr>
                <w:i/>
                <w:sz w:val="24"/>
                <w:lang w:val="ky-KG"/>
              </w:rPr>
            </w:pPr>
            <w:r w:rsidRPr="00C44EE6">
              <w:rPr>
                <w:b/>
                <w:sz w:val="24"/>
                <w:lang w:val="ky-KG"/>
              </w:rPr>
              <w:t xml:space="preserve">Эмгек жана айлык акы. </w:t>
            </w:r>
            <w:r w:rsidRPr="00C44EE6">
              <w:rPr>
                <w:rFonts w:ascii="Times New Roman UniToktom" w:hAnsi="Times New Roman UniToktom" w:cs="Times New Roman UniToktom"/>
                <w:sz w:val="24"/>
                <w:szCs w:val="24"/>
                <w:lang w:val="ky-KG"/>
              </w:rPr>
              <w:t xml:space="preserve">2024-жылы Жалал-Абад облусу боюнча  </w:t>
            </w:r>
            <w:r w:rsidRPr="00C44EE6">
              <w:rPr>
                <w:bCs/>
                <w:sz w:val="24"/>
                <w:szCs w:val="24"/>
                <w:lang w:val="ky-KG"/>
              </w:rPr>
              <w:t>ишканалардын, уюмдардын жана мекемелердеги кызматкерлердин</w:t>
            </w:r>
            <w:r w:rsidRPr="00C44EE6">
              <w:rPr>
                <w:rFonts w:ascii="Times New Roman UniToktom" w:hAnsi="Times New Roman UniToktom" w:cs="Times New Roman UniToktom"/>
                <w:sz w:val="24"/>
                <w:szCs w:val="24"/>
                <w:lang w:val="ky-KG"/>
              </w:rPr>
              <w:t xml:space="preserve"> орточо айлык акысы  31229</w:t>
            </w:r>
            <w:r w:rsidRPr="00C44EE6">
              <w:rPr>
                <w:sz w:val="24"/>
                <w:szCs w:val="24"/>
                <w:lang w:val="ky-KG"/>
              </w:rPr>
              <w:t xml:space="preserve"> </w:t>
            </w:r>
            <w:r w:rsidRPr="00C44EE6">
              <w:rPr>
                <w:rFonts w:ascii="Times New Roman UniToktom" w:hAnsi="Times New Roman UniToktom" w:cs="Times New Roman UniToktom"/>
                <w:sz w:val="24"/>
                <w:szCs w:val="24"/>
                <w:lang w:val="ky-KG"/>
              </w:rPr>
              <w:t xml:space="preserve">сомду түзүп, 2020 жылга карата 77,6 пайызга өскөн. </w:t>
            </w:r>
            <w:r w:rsidRPr="00C44EE6">
              <w:rPr>
                <w:sz w:val="24"/>
                <w:szCs w:val="24"/>
                <w:lang w:val="ky-KG"/>
              </w:rPr>
              <w:t xml:space="preserve">Керектөө бааларынын индексин эске алуу менен эсептелген реалдуу айлык акынын өлчөмү 1,7 пайызга көбөйдү. </w:t>
            </w:r>
          </w:p>
        </w:tc>
        <w:tc>
          <w:tcPr>
            <w:tcW w:w="4677" w:type="dxa"/>
          </w:tcPr>
          <w:p w14:paraId="28218D9F" w14:textId="7E3A4489" w:rsidR="00343323" w:rsidRPr="00C44EE6" w:rsidRDefault="00343323" w:rsidP="00343323">
            <w:pPr>
              <w:ind w:firstLine="708"/>
              <w:jc w:val="both"/>
              <w:rPr>
                <w:i/>
                <w:sz w:val="24"/>
              </w:rPr>
            </w:pPr>
            <w:r w:rsidRPr="00C44EE6">
              <w:rPr>
                <w:b/>
                <w:i/>
                <w:sz w:val="24"/>
              </w:rPr>
              <w:t>Труд и заработная плата.</w:t>
            </w:r>
            <w:r w:rsidRPr="00C44EE6">
              <w:rPr>
                <w:b/>
                <w:i/>
                <w:sz w:val="24"/>
                <w:lang w:val="ky-KG"/>
              </w:rPr>
              <w:t xml:space="preserve"> </w:t>
            </w:r>
            <w:r w:rsidRPr="00C44EE6">
              <w:rPr>
                <w:i/>
                <w:sz w:val="24"/>
                <w:lang w:val="ky-KG"/>
              </w:rPr>
              <w:t>В</w:t>
            </w:r>
            <w:r w:rsidRPr="00C44EE6">
              <w:rPr>
                <w:i/>
                <w:sz w:val="24"/>
              </w:rPr>
              <w:t xml:space="preserve"> 2024году </w:t>
            </w:r>
            <w:r w:rsidRPr="00C44EE6">
              <w:rPr>
                <w:i/>
                <w:sz w:val="24"/>
                <w:lang w:val="ky-KG"/>
              </w:rPr>
              <w:t>с</w:t>
            </w:r>
            <w:proofErr w:type="spellStart"/>
            <w:r w:rsidRPr="00C44EE6">
              <w:rPr>
                <w:i/>
                <w:sz w:val="24"/>
              </w:rPr>
              <w:t>редн</w:t>
            </w:r>
            <w:proofErr w:type="spellEnd"/>
            <w:r w:rsidRPr="00C44EE6">
              <w:rPr>
                <w:i/>
                <w:sz w:val="24"/>
                <w:lang w:val="ky-KG"/>
              </w:rPr>
              <w:t>емеся</w:t>
            </w:r>
            <w:r w:rsidRPr="00C44EE6">
              <w:rPr>
                <w:i/>
                <w:sz w:val="24"/>
              </w:rPr>
              <w:t>ч</w:t>
            </w:r>
            <w:r w:rsidRPr="00C44EE6">
              <w:rPr>
                <w:i/>
                <w:sz w:val="24"/>
                <w:lang w:val="ky-KG"/>
              </w:rPr>
              <w:t>ная</w:t>
            </w:r>
            <w:r w:rsidRPr="00C44EE6">
              <w:rPr>
                <w:i/>
                <w:sz w:val="24"/>
              </w:rPr>
              <w:t xml:space="preserve"> заработная плата</w:t>
            </w:r>
            <w:r w:rsidRPr="00C44EE6">
              <w:rPr>
                <w:i/>
                <w:sz w:val="24"/>
                <w:lang w:val="ky-KG"/>
              </w:rPr>
              <w:t xml:space="preserve"> работников предприятий, учреждений и организаций</w:t>
            </w:r>
            <w:r w:rsidRPr="00C44EE6">
              <w:rPr>
                <w:i/>
                <w:sz w:val="24"/>
              </w:rPr>
              <w:t xml:space="preserve"> в среднем по области </w:t>
            </w:r>
            <w:r w:rsidRPr="00C44EE6">
              <w:rPr>
                <w:i/>
                <w:sz w:val="24"/>
                <w:lang w:val="ky-KG"/>
              </w:rPr>
              <w:t>сложи</w:t>
            </w:r>
            <w:proofErr w:type="spellStart"/>
            <w:r w:rsidRPr="00C44EE6">
              <w:rPr>
                <w:i/>
                <w:sz w:val="24"/>
              </w:rPr>
              <w:t>лась</w:t>
            </w:r>
            <w:proofErr w:type="spellEnd"/>
            <w:r w:rsidRPr="00C44EE6">
              <w:rPr>
                <w:i/>
                <w:sz w:val="24"/>
              </w:rPr>
              <w:t xml:space="preserve"> в размере 31229</w:t>
            </w:r>
            <w:r w:rsidRPr="00C44EE6">
              <w:rPr>
                <w:i/>
                <w:sz w:val="24"/>
                <w:szCs w:val="24"/>
                <w:lang w:val="ky-KG"/>
              </w:rPr>
              <w:t xml:space="preserve"> </w:t>
            </w:r>
            <w:r w:rsidRPr="00C44EE6">
              <w:rPr>
                <w:i/>
                <w:sz w:val="24"/>
              </w:rPr>
              <w:t xml:space="preserve">сомов, и по сравнению с 2020  годом увеличилась в 77,6 </w:t>
            </w:r>
            <w:r w:rsidRPr="00C44EE6">
              <w:rPr>
                <w:i/>
                <w:sz w:val="24"/>
                <w:lang w:val="ky-KG"/>
              </w:rPr>
              <w:t>процента</w:t>
            </w:r>
            <w:r w:rsidRPr="00C44EE6">
              <w:rPr>
                <w:i/>
                <w:sz w:val="24"/>
              </w:rPr>
              <w:t xml:space="preserve">. </w:t>
            </w:r>
            <w:proofErr w:type="spellStart"/>
            <w:r w:rsidRPr="00C44EE6">
              <w:rPr>
                <w:i/>
                <w:sz w:val="24"/>
              </w:rPr>
              <w:t>Реальн</w:t>
            </w:r>
            <w:proofErr w:type="spellEnd"/>
            <w:r w:rsidRPr="00C44EE6">
              <w:rPr>
                <w:i/>
                <w:sz w:val="24"/>
                <w:lang w:val="ky-KG"/>
              </w:rPr>
              <w:t>ый размер</w:t>
            </w:r>
            <w:r w:rsidRPr="00C44EE6">
              <w:rPr>
                <w:i/>
                <w:sz w:val="24"/>
              </w:rPr>
              <w:t xml:space="preserve"> </w:t>
            </w:r>
            <w:proofErr w:type="spellStart"/>
            <w:r w:rsidRPr="00C44EE6">
              <w:rPr>
                <w:i/>
                <w:sz w:val="24"/>
              </w:rPr>
              <w:t>заработн</w:t>
            </w:r>
            <w:proofErr w:type="spellEnd"/>
            <w:r w:rsidRPr="00C44EE6">
              <w:rPr>
                <w:i/>
                <w:sz w:val="24"/>
                <w:lang w:val="ky-KG"/>
              </w:rPr>
              <w:t>ой</w:t>
            </w:r>
            <w:r w:rsidRPr="00C44EE6">
              <w:rPr>
                <w:i/>
                <w:sz w:val="24"/>
              </w:rPr>
              <w:t xml:space="preserve"> плат</w:t>
            </w:r>
            <w:r w:rsidRPr="00C44EE6">
              <w:rPr>
                <w:i/>
                <w:sz w:val="24"/>
                <w:lang w:val="ky-KG"/>
              </w:rPr>
              <w:t xml:space="preserve">ы </w:t>
            </w:r>
            <w:r w:rsidRPr="00C44EE6">
              <w:rPr>
                <w:i/>
                <w:sz w:val="24"/>
              </w:rPr>
              <w:t xml:space="preserve">с учетом индекса потребительских цен </w:t>
            </w:r>
            <w:r w:rsidRPr="00C44EE6">
              <w:rPr>
                <w:i/>
                <w:sz w:val="24"/>
                <w:lang w:val="ky-KG"/>
              </w:rPr>
              <w:t>увеличилась на 1,7 процента</w:t>
            </w:r>
            <w:r w:rsidRPr="00C44EE6">
              <w:rPr>
                <w:i/>
                <w:sz w:val="24"/>
              </w:rPr>
              <w:t>.</w:t>
            </w:r>
            <w:r w:rsidRPr="00C44EE6">
              <w:rPr>
                <w:i/>
                <w:sz w:val="24"/>
                <w:lang w:val="ky-KG"/>
              </w:rPr>
              <w:t xml:space="preserve"> </w:t>
            </w:r>
          </w:p>
        </w:tc>
      </w:tr>
      <w:tr w:rsidR="00343323" w:rsidRPr="00947ABD" w14:paraId="60FD1FFF" w14:textId="77777777" w:rsidTr="004D68D3">
        <w:trPr>
          <w:trHeight w:val="1930"/>
        </w:trPr>
        <w:tc>
          <w:tcPr>
            <w:tcW w:w="4820" w:type="dxa"/>
          </w:tcPr>
          <w:p w14:paraId="611D1011" w14:textId="41F7B2DA" w:rsidR="00343323" w:rsidRPr="00C44EE6" w:rsidRDefault="00343323" w:rsidP="00343323">
            <w:pPr>
              <w:ind w:firstLine="708"/>
              <w:jc w:val="both"/>
              <w:rPr>
                <w:b/>
                <w:sz w:val="24"/>
                <w:szCs w:val="24"/>
              </w:rPr>
            </w:pPr>
            <w:r w:rsidRPr="00C44EE6">
              <w:rPr>
                <w:rFonts w:ascii="Times New Roman UniToktom" w:hAnsi="Times New Roman UniToktom" w:cs="Times New Roman UniToktom"/>
                <w:sz w:val="24"/>
                <w:szCs w:val="24"/>
                <w:lang w:val="ky-KG"/>
              </w:rPr>
              <w:t>Кыргыз Республикасынын Улуттук банкы аныктаган валюталардын расмий курсуна жараша 20</w:t>
            </w:r>
            <w:r w:rsidRPr="00C44EE6">
              <w:rPr>
                <w:rFonts w:ascii="Times New Roman UniToktom" w:hAnsi="Times New Roman UniToktom" w:cs="Times New Roman UniToktom"/>
                <w:sz w:val="24"/>
                <w:szCs w:val="24"/>
              </w:rPr>
              <w:t>24</w:t>
            </w:r>
            <w:r w:rsidRPr="00C44EE6">
              <w:rPr>
                <w:rFonts w:ascii="Times New Roman UniToktom" w:hAnsi="Times New Roman UniToktom" w:cs="Times New Roman UniToktom"/>
                <w:sz w:val="24"/>
                <w:szCs w:val="24"/>
                <w:lang w:val="ky-KG"/>
              </w:rPr>
              <w:t>-жылы, орточо айлык</w:t>
            </w:r>
            <w:r w:rsidRPr="00C44EE6">
              <w:rPr>
                <w:rFonts w:ascii="Times New Roman UniToktom" w:hAnsi="Times New Roman UniToktom" w:cs="Times New Roman UniToktom"/>
                <w:sz w:val="24"/>
                <w:szCs w:val="24"/>
              </w:rPr>
              <w:t xml:space="preserve"> </w:t>
            </w:r>
            <w:r w:rsidRPr="00C44EE6">
              <w:rPr>
                <w:rFonts w:ascii="Times New Roman UniToktom" w:hAnsi="Times New Roman UniToktom" w:cs="Times New Roman UniToktom"/>
                <w:sz w:val="24"/>
                <w:szCs w:val="24"/>
                <w:lang w:val="ky-KG"/>
              </w:rPr>
              <w:t xml:space="preserve">акы 358,3 АКШ долларын түздү, ал эми </w:t>
            </w:r>
            <w:r w:rsidRPr="00C44EE6">
              <w:rPr>
                <w:sz w:val="24"/>
                <w:szCs w:val="24"/>
              </w:rPr>
              <w:t>2020</w:t>
            </w:r>
            <w:r w:rsidRPr="00C44EE6">
              <w:rPr>
                <w:sz w:val="24"/>
                <w:szCs w:val="24"/>
                <w:lang w:val="ky-KG"/>
              </w:rPr>
              <w:t xml:space="preserve">-жылы 227,2 </w:t>
            </w:r>
            <w:r w:rsidRPr="00C44EE6">
              <w:rPr>
                <w:rFonts w:ascii="Times New Roman UniToktom" w:hAnsi="Times New Roman UniToktom" w:cs="Times New Roman UniToktom"/>
                <w:sz w:val="24"/>
                <w:szCs w:val="24"/>
                <w:lang w:val="ky-KG"/>
              </w:rPr>
              <w:t>АКШ долларын түзгөн</w:t>
            </w:r>
            <w:r w:rsidRPr="00C44EE6">
              <w:rPr>
                <w:sz w:val="24"/>
                <w:szCs w:val="24"/>
              </w:rPr>
              <w:t>.</w:t>
            </w:r>
          </w:p>
        </w:tc>
        <w:tc>
          <w:tcPr>
            <w:tcW w:w="4677" w:type="dxa"/>
          </w:tcPr>
          <w:p w14:paraId="32FE4DD8" w14:textId="4DA82268" w:rsidR="00343323" w:rsidRPr="00C44EE6" w:rsidRDefault="00343323" w:rsidP="00343323">
            <w:pPr>
              <w:ind w:firstLine="708"/>
              <w:jc w:val="both"/>
              <w:rPr>
                <w:b/>
                <w:i/>
                <w:sz w:val="24"/>
                <w:lang w:val="ky-KG"/>
              </w:rPr>
            </w:pPr>
            <w:r w:rsidRPr="00C44EE6">
              <w:rPr>
                <w:i/>
                <w:sz w:val="24"/>
              </w:rPr>
              <w:t xml:space="preserve">В пересчете на доллары США, исходя из среднегодового официального курса валют, установленного Национальным банком </w:t>
            </w:r>
            <w:r w:rsidRPr="00C44EE6">
              <w:rPr>
                <w:i/>
                <w:sz w:val="24"/>
                <w:lang w:val="ky-KG"/>
              </w:rPr>
              <w:t>Р</w:t>
            </w:r>
            <w:proofErr w:type="spellStart"/>
            <w:r w:rsidRPr="00C44EE6">
              <w:rPr>
                <w:i/>
                <w:sz w:val="24"/>
              </w:rPr>
              <w:t>еспублики</w:t>
            </w:r>
            <w:proofErr w:type="spellEnd"/>
            <w:r w:rsidRPr="00C44EE6">
              <w:rPr>
                <w:i/>
                <w:sz w:val="24"/>
              </w:rPr>
              <w:t>, средняя заработная плата одного</w:t>
            </w:r>
            <w:r w:rsidRPr="00C44EE6">
              <w:rPr>
                <w:i/>
                <w:sz w:val="24"/>
                <w:lang w:val="ky-KG"/>
              </w:rPr>
              <w:t xml:space="preserve"> работника </w:t>
            </w:r>
            <w:r w:rsidRPr="00C44EE6">
              <w:rPr>
                <w:i/>
                <w:sz w:val="24"/>
              </w:rPr>
              <w:t>в 20</w:t>
            </w:r>
            <w:r w:rsidRPr="00C44EE6">
              <w:rPr>
                <w:i/>
                <w:sz w:val="24"/>
                <w:lang w:val="ky-KG"/>
              </w:rPr>
              <w:t>24</w:t>
            </w:r>
            <w:r w:rsidRPr="00C44EE6">
              <w:rPr>
                <w:i/>
                <w:sz w:val="24"/>
              </w:rPr>
              <w:t xml:space="preserve"> году составила </w:t>
            </w:r>
            <w:r w:rsidRPr="00C44EE6">
              <w:rPr>
                <w:i/>
                <w:sz w:val="24"/>
                <w:lang w:val="ky-KG"/>
              </w:rPr>
              <w:t xml:space="preserve">358,3 </w:t>
            </w:r>
            <w:r w:rsidRPr="00C44EE6">
              <w:rPr>
                <w:i/>
                <w:sz w:val="24"/>
              </w:rPr>
              <w:t>доллара</w:t>
            </w:r>
            <w:r w:rsidRPr="00C44EE6">
              <w:rPr>
                <w:i/>
                <w:sz w:val="24"/>
                <w:lang w:val="ky-KG"/>
              </w:rPr>
              <w:t xml:space="preserve"> США</w:t>
            </w:r>
            <w:r w:rsidRPr="00C44EE6">
              <w:rPr>
                <w:i/>
                <w:sz w:val="24"/>
              </w:rPr>
              <w:t xml:space="preserve">, </w:t>
            </w:r>
            <w:r w:rsidRPr="00C44EE6">
              <w:rPr>
                <w:i/>
                <w:sz w:val="24"/>
                <w:lang w:val="ky-KG"/>
              </w:rPr>
              <w:t>а также</w:t>
            </w:r>
            <w:r w:rsidRPr="00C44EE6">
              <w:rPr>
                <w:i/>
                <w:sz w:val="24"/>
              </w:rPr>
              <w:t xml:space="preserve"> </w:t>
            </w:r>
            <w:r w:rsidRPr="00C44EE6">
              <w:rPr>
                <w:i/>
                <w:sz w:val="24"/>
                <w:lang w:val="ky-KG"/>
              </w:rPr>
              <w:t>227,2</w:t>
            </w:r>
            <w:r w:rsidRPr="00C44EE6">
              <w:rPr>
                <w:i/>
                <w:sz w:val="24"/>
              </w:rPr>
              <w:t xml:space="preserve"> доллара в 2020году.</w:t>
            </w:r>
          </w:p>
        </w:tc>
      </w:tr>
      <w:tr w:rsidR="00343323" w:rsidRPr="00947ABD" w14:paraId="67E58B4D" w14:textId="77777777" w:rsidTr="004D68D3">
        <w:tc>
          <w:tcPr>
            <w:tcW w:w="4820" w:type="dxa"/>
          </w:tcPr>
          <w:p w14:paraId="69C1733E" w14:textId="34D856D4" w:rsidR="00343323" w:rsidRPr="00C44EE6" w:rsidRDefault="00343323" w:rsidP="00343323">
            <w:pPr>
              <w:ind w:firstLine="708"/>
              <w:jc w:val="both"/>
              <w:rPr>
                <w:sz w:val="24"/>
              </w:rPr>
            </w:pPr>
            <w:r w:rsidRPr="00C44EE6">
              <w:rPr>
                <w:sz w:val="24"/>
                <w:szCs w:val="24"/>
                <w:lang w:val="ky-KG"/>
              </w:rPr>
              <w:t>2020-</w:t>
            </w:r>
            <w:r w:rsidRPr="00C44EE6">
              <w:rPr>
                <w:sz w:val="24"/>
                <w:szCs w:val="24"/>
              </w:rPr>
              <w:t>2024-жыл</w:t>
            </w:r>
            <w:r w:rsidRPr="00C44EE6">
              <w:rPr>
                <w:sz w:val="24"/>
                <w:szCs w:val="24"/>
                <w:lang w:val="ky-KG"/>
              </w:rPr>
              <w:t>дар</w:t>
            </w:r>
            <w:r w:rsidRPr="00C44EE6">
              <w:rPr>
                <w:sz w:val="24"/>
                <w:szCs w:val="24"/>
              </w:rPr>
              <w:t xml:space="preserve">ы </w:t>
            </w:r>
            <w:proofErr w:type="spellStart"/>
            <w:r w:rsidRPr="00C44EE6">
              <w:rPr>
                <w:sz w:val="24"/>
                <w:szCs w:val="24"/>
              </w:rPr>
              <w:t>ишканалар</w:t>
            </w:r>
            <w:proofErr w:type="spellEnd"/>
            <w:r w:rsidRPr="00C44EE6">
              <w:rPr>
                <w:sz w:val="24"/>
                <w:szCs w:val="24"/>
              </w:rPr>
              <w:t xml:space="preserve">, </w:t>
            </w:r>
            <w:proofErr w:type="spellStart"/>
            <w:r w:rsidRPr="00C44EE6">
              <w:rPr>
                <w:sz w:val="24"/>
                <w:szCs w:val="24"/>
              </w:rPr>
              <w:t>мекемелер</w:t>
            </w:r>
            <w:proofErr w:type="spellEnd"/>
            <w:r w:rsidRPr="00C44EE6">
              <w:rPr>
                <w:sz w:val="24"/>
                <w:szCs w:val="24"/>
              </w:rPr>
              <w:t xml:space="preserve"> </w:t>
            </w:r>
            <w:proofErr w:type="spellStart"/>
            <w:r w:rsidRPr="00C44EE6">
              <w:rPr>
                <w:sz w:val="24"/>
                <w:szCs w:val="24"/>
              </w:rPr>
              <w:t>жана</w:t>
            </w:r>
            <w:proofErr w:type="spellEnd"/>
            <w:r w:rsidRPr="00C44EE6">
              <w:rPr>
                <w:sz w:val="24"/>
                <w:szCs w:val="24"/>
              </w:rPr>
              <w:t xml:space="preserve"> </w:t>
            </w:r>
            <w:proofErr w:type="spellStart"/>
            <w:r w:rsidRPr="00C44EE6">
              <w:rPr>
                <w:sz w:val="24"/>
                <w:szCs w:val="24"/>
              </w:rPr>
              <w:t>уюмдардагы</w:t>
            </w:r>
            <w:proofErr w:type="spellEnd"/>
            <w:r w:rsidRPr="00C44EE6">
              <w:rPr>
                <w:sz w:val="24"/>
                <w:szCs w:val="24"/>
              </w:rPr>
              <w:t xml:space="preserve"> </w:t>
            </w:r>
            <w:proofErr w:type="spellStart"/>
            <w:r w:rsidRPr="00C44EE6">
              <w:rPr>
                <w:sz w:val="24"/>
                <w:szCs w:val="24"/>
              </w:rPr>
              <w:t>эмгек</w:t>
            </w:r>
            <w:proofErr w:type="spellEnd"/>
            <w:r w:rsidRPr="00C44EE6">
              <w:rPr>
                <w:sz w:val="24"/>
                <w:szCs w:val="24"/>
              </w:rPr>
              <w:t xml:space="preserve"> </w:t>
            </w:r>
            <w:proofErr w:type="spellStart"/>
            <w:r w:rsidRPr="00C44EE6">
              <w:rPr>
                <w:sz w:val="24"/>
                <w:szCs w:val="24"/>
              </w:rPr>
              <w:t>акынын</w:t>
            </w:r>
            <w:proofErr w:type="spellEnd"/>
            <w:r w:rsidRPr="00C44EE6">
              <w:rPr>
                <w:sz w:val="24"/>
                <w:szCs w:val="24"/>
              </w:rPr>
              <w:t xml:space="preserve"> </w:t>
            </w:r>
            <w:proofErr w:type="spellStart"/>
            <w:r w:rsidRPr="00C44EE6">
              <w:rPr>
                <w:sz w:val="24"/>
                <w:szCs w:val="24"/>
              </w:rPr>
              <w:t>өсүшү</w:t>
            </w:r>
            <w:proofErr w:type="spellEnd"/>
            <w:r w:rsidRPr="00C44EE6">
              <w:rPr>
                <w:sz w:val="24"/>
                <w:szCs w:val="24"/>
              </w:rPr>
              <w:t xml:space="preserve"> </w:t>
            </w:r>
            <w:proofErr w:type="spellStart"/>
            <w:r w:rsidRPr="00C44EE6">
              <w:rPr>
                <w:sz w:val="24"/>
                <w:szCs w:val="24"/>
              </w:rPr>
              <w:t>экономикалык</w:t>
            </w:r>
            <w:proofErr w:type="spellEnd"/>
            <w:r w:rsidRPr="00C44EE6">
              <w:rPr>
                <w:sz w:val="24"/>
                <w:szCs w:val="24"/>
              </w:rPr>
              <w:t xml:space="preserve"> </w:t>
            </w:r>
            <w:proofErr w:type="spellStart"/>
            <w:r w:rsidRPr="00C44EE6">
              <w:rPr>
                <w:sz w:val="24"/>
                <w:szCs w:val="24"/>
              </w:rPr>
              <w:t>ишмердүүлүктүн</w:t>
            </w:r>
            <w:proofErr w:type="spellEnd"/>
            <w:r w:rsidRPr="00C44EE6">
              <w:rPr>
                <w:sz w:val="24"/>
                <w:szCs w:val="24"/>
              </w:rPr>
              <w:t xml:space="preserve"> </w:t>
            </w:r>
            <w:proofErr w:type="spellStart"/>
            <w:r w:rsidRPr="00C44EE6">
              <w:rPr>
                <w:sz w:val="24"/>
                <w:szCs w:val="24"/>
              </w:rPr>
              <w:t>көптөгөн</w:t>
            </w:r>
            <w:proofErr w:type="spellEnd"/>
            <w:r w:rsidRPr="00C44EE6">
              <w:rPr>
                <w:sz w:val="24"/>
                <w:szCs w:val="24"/>
              </w:rPr>
              <w:t xml:space="preserve"> </w:t>
            </w:r>
            <w:proofErr w:type="spellStart"/>
            <w:r w:rsidRPr="00C44EE6">
              <w:rPr>
                <w:sz w:val="24"/>
                <w:szCs w:val="24"/>
              </w:rPr>
              <w:t>багыттары</w:t>
            </w:r>
            <w:proofErr w:type="spellEnd"/>
            <w:r w:rsidRPr="00C44EE6">
              <w:rPr>
                <w:sz w:val="24"/>
                <w:szCs w:val="24"/>
              </w:rPr>
              <w:t xml:space="preserve"> </w:t>
            </w:r>
            <w:proofErr w:type="spellStart"/>
            <w:r w:rsidRPr="00C44EE6">
              <w:rPr>
                <w:sz w:val="24"/>
                <w:szCs w:val="24"/>
              </w:rPr>
              <w:t>боюнча</w:t>
            </w:r>
            <w:proofErr w:type="spellEnd"/>
            <w:r w:rsidRPr="00C44EE6">
              <w:rPr>
                <w:sz w:val="24"/>
                <w:szCs w:val="24"/>
              </w:rPr>
              <w:t xml:space="preserve"> </w:t>
            </w:r>
            <w:proofErr w:type="spellStart"/>
            <w:r w:rsidRPr="00C44EE6">
              <w:rPr>
                <w:sz w:val="24"/>
                <w:szCs w:val="24"/>
              </w:rPr>
              <w:t>байкалган</w:t>
            </w:r>
            <w:proofErr w:type="spellEnd"/>
            <w:r w:rsidRPr="00C44EE6">
              <w:rPr>
                <w:sz w:val="24"/>
                <w:szCs w:val="24"/>
              </w:rPr>
              <w:t xml:space="preserve">. </w:t>
            </w:r>
          </w:p>
        </w:tc>
        <w:tc>
          <w:tcPr>
            <w:tcW w:w="4677" w:type="dxa"/>
          </w:tcPr>
          <w:p w14:paraId="3D6F0A29" w14:textId="250CCA91" w:rsidR="00343323" w:rsidRPr="00C44EE6" w:rsidRDefault="00343323" w:rsidP="00343323">
            <w:pPr>
              <w:ind w:firstLine="708"/>
              <w:jc w:val="both"/>
              <w:rPr>
                <w:i/>
                <w:sz w:val="24"/>
              </w:rPr>
            </w:pPr>
            <w:r w:rsidRPr="00C44EE6">
              <w:rPr>
                <w:i/>
                <w:sz w:val="24"/>
                <w:szCs w:val="24"/>
                <w:lang w:val="ky-KG"/>
              </w:rPr>
              <w:t xml:space="preserve">Повышение темпов роста среднемесячной </w:t>
            </w:r>
            <w:proofErr w:type="spellStart"/>
            <w:r w:rsidRPr="00C44EE6">
              <w:rPr>
                <w:i/>
                <w:sz w:val="24"/>
                <w:szCs w:val="24"/>
              </w:rPr>
              <w:t>заработн</w:t>
            </w:r>
            <w:proofErr w:type="spellEnd"/>
            <w:r w:rsidRPr="00C44EE6">
              <w:rPr>
                <w:i/>
                <w:sz w:val="24"/>
                <w:szCs w:val="24"/>
                <w:lang w:val="ky-KG"/>
              </w:rPr>
              <w:t>ой</w:t>
            </w:r>
            <w:r w:rsidRPr="00C44EE6">
              <w:rPr>
                <w:i/>
                <w:sz w:val="24"/>
                <w:szCs w:val="24"/>
              </w:rPr>
              <w:t xml:space="preserve"> плат</w:t>
            </w:r>
            <w:r w:rsidRPr="00C44EE6">
              <w:rPr>
                <w:i/>
                <w:sz w:val="24"/>
                <w:szCs w:val="24"/>
                <w:lang w:val="ky-KG"/>
              </w:rPr>
              <w:t>ы з</w:t>
            </w:r>
            <w:r w:rsidRPr="00C44EE6">
              <w:rPr>
                <w:i/>
                <w:sz w:val="24"/>
                <w:szCs w:val="24"/>
              </w:rPr>
              <w:t xml:space="preserve">а период с 2020 по 2024 года </w:t>
            </w:r>
            <w:r w:rsidRPr="00C44EE6">
              <w:rPr>
                <w:i/>
                <w:sz w:val="24"/>
                <w:szCs w:val="24"/>
                <w:lang w:val="ky-KG"/>
              </w:rPr>
              <w:t xml:space="preserve">наблюдалось на предприятиях, организациях и учрежденихх </w:t>
            </w:r>
            <w:r w:rsidRPr="00C44EE6">
              <w:rPr>
                <w:i/>
                <w:sz w:val="24"/>
                <w:szCs w:val="24"/>
              </w:rPr>
              <w:t xml:space="preserve">во </w:t>
            </w:r>
            <w:r w:rsidRPr="00C44EE6">
              <w:rPr>
                <w:i/>
                <w:sz w:val="24"/>
                <w:szCs w:val="24"/>
                <w:lang w:val="ky-KG"/>
              </w:rPr>
              <w:t>многих</w:t>
            </w:r>
            <w:r w:rsidRPr="00C44EE6">
              <w:rPr>
                <w:i/>
                <w:sz w:val="24"/>
                <w:szCs w:val="24"/>
              </w:rPr>
              <w:t xml:space="preserve"> сферах </w:t>
            </w:r>
            <w:proofErr w:type="spellStart"/>
            <w:r w:rsidRPr="00C44EE6">
              <w:rPr>
                <w:i/>
                <w:sz w:val="24"/>
                <w:szCs w:val="24"/>
              </w:rPr>
              <w:t>экономи</w:t>
            </w:r>
            <w:proofErr w:type="spellEnd"/>
            <w:r w:rsidRPr="00C44EE6">
              <w:rPr>
                <w:i/>
                <w:sz w:val="24"/>
                <w:szCs w:val="24"/>
                <w:lang w:val="ky-KG"/>
              </w:rPr>
              <w:t>ческой деятельности</w:t>
            </w:r>
            <w:r w:rsidRPr="00C44EE6">
              <w:rPr>
                <w:i/>
                <w:sz w:val="24"/>
                <w:szCs w:val="24"/>
              </w:rPr>
              <w:t xml:space="preserve">. </w:t>
            </w:r>
          </w:p>
        </w:tc>
      </w:tr>
      <w:tr w:rsidR="00343323" w:rsidRPr="005C666A" w14:paraId="5EEEA55B" w14:textId="77777777" w:rsidTr="004D68D3">
        <w:tc>
          <w:tcPr>
            <w:tcW w:w="4820" w:type="dxa"/>
          </w:tcPr>
          <w:p w14:paraId="6C1E02F4" w14:textId="79A669ED" w:rsidR="00343323" w:rsidRPr="00C44EE6" w:rsidRDefault="00343323" w:rsidP="00343323">
            <w:pPr>
              <w:ind w:firstLine="709"/>
              <w:jc w:val="both"/>
              <w:rPr>
                <w:sz w:val="24"/>
                <w:szCs w:val="24"/>
                <w:lang w:val="ky-KG"/>
              </w:rPr>
            </w:pPr>
            <w:r w:rsidRPr="00C44EE6">
              <w:rPr>
                <w:sz w:val="24"/>
                <w:szCs w:val="24"/>
                <w:lang w:val="ky-KG"/>
              </w:rPr>
              <w:t>20</w:t>
            </w:r>
            <w:r w:rsidRPr="00C44EE6">
              <w:rPr>
                <w:sz w:val="24"/>
                <w:szCs w:val="24"/>
              </w:rPr>
              <w:t>24</w:t>
            </w:r>
            <w:r w:rsidRPr="00C44EE6">
              <w:rPr>
                <w:sz w:val="24"/>
                <w:szCs w:val="24"/>
                <w:lang w:val="ky-KG"/>
              </w:rPr>
              <w:t>-жылы төмөнкү тармактар боюнча иш алып барган кызматкерлердин орточо айлык акылары облустук деңгээлден кыйла ашкан. Мисалы: пайдалуу кендерди казуу 76325 сомду түзүп (2,4 эсеге), электр энергия, газ, буу жана кондицияланган аба менен камсыздоо (жабдуу) – 53398  сом (70,9 пайызга),  кесиптик, илимий жана техникалык  ишмердүүлүктө  32996 сомду  (5,6 пайызга), финансылык ортомчулук жана камсыздандырууда – 47669 сомду, (52,6 пайызга) жогору болгон.</w:t>
            </w:r>
          </w:p>
        </w:tc>
        <w:tc>
          <w:tcPr>
            <w:tcW w:w="4677" w:type="dxa"/>
          </w:tcPr>
          <w:p w14:paraId="56643FC1" w14:textId="51A21381" w:rsidR="00343323" w:rsidRPr="00C44EE6" w:rsidRDefault="00343323" w:rsidP="00343323">
            <w:pPr>
              <w:pStyle w:val="24"/>
              <w:ind w:firstLine="720"/>
              <w:jc w:val="both"/>
              <w:rPr>
                <w:i/>
                <w:sz w:val="24"/>
                <w:szCs w:val="24"/>
                <w:lang w:val="ky-KG"/>
              </w:rPr>
            </w:pPr>
            <w:r w:rsidRPr="00C44EE6">
              <w:rPr>
                <w:i/>
                <w:sz w:val="24"/>
                <w:szCs w:val="24"/>
              </w:rPr>
              <w:t>Наиболее высокооплачиваемыми в 2024году были работники, занятые в области</w:t>
            </w:r>
            <w:r w:rsidRPr="00C44EE6">
              <w:rPr>
                <w:i/>
                <w:sz w:val="24"/>
                <w:szCs w:val="24"/>
                <w:lang w:val="ky-KG"/>
              </w:rPr>
              <w:t xml:space="preserve"> добыча полезных искапаемых 76325 сомов 2,4 раза,</w:t>
            </w:r>
            <w:r w:rsidRPr="00C44EE6">
              <w:rPr>
                <w:i/>
                <w:sz w:val="24"/>
                <w:szCs w:val="24"/>
              </w:rPr>
              <w:t xml:space="preserve"> превышает среднеобластной уровень, занятые в области обеспечения</w:t>
            </w:r>
            <w:r w:rsidRPr="00C44EE6">
              <w:rPr>
                <w:i/>
                <w:sz w:val="24"/>
                <w:szCs w:val="24"/>
                <w:lang w:val="ky-KG"/>
              </w:rPr>
              <w:t xml:space="preserve"> (снабжения)</w:t>
            </w:r>
            <w:r w:rsidRPr="00C44EE6">
              <w:rPr>
                <w:i/>
                <w:sz w:val="24"/>
                <w:szCs w:val="24"/>
              </w:rPr>
              <w:t xml:space="preserve"> электроэнергией</w:t>
            </w:r>
            <w:r w:rsidRPr="00C44EE6">
              <w:rPr>
                <w:i/>
                <w:sz w:val="24"/>
                <w:szCs w:val="24"/>
                <w:lang w:val="ky-KG"/>
              </w:rPr>
              <w:t xml:space="preserve">, газом, паром и кондиционированным воздухом– 53398  сомов </w:t>
            </w:r>
            <w:r w:rsidRPr="00C44EE6">
              <w:rPr>
                <w:i/>
                <w:sz w:val="24"/>
                <w:szCs w:val="24"/>
              </w:rPr>
              <w:t>профессионально</w:t>
            </w:r>
            <w:r w:rsidRPr="00C44EE6">
              <w:rPr>
                <w:i/>
                <w:sz w:val="24"/>
                <w:szCs w:val="24"/>
                <w:lang w:val="ky-KG"/>
              </w:rPr>
              <w:t>й, научной и</w:t>
            </w:r>
            <w:r w:rsidRPr="00C44EE6">
              <w:rPr>
                <w:i/>
                <w:sz w:val="24"/>
                <w:szCs w:val="24"/>
              </w:rPr>
              <w:t xml:space="preserve"> технической деятельности</w:t>
            </w:r>
            <w:r w:rsidRPr="00C44EE6">
              <w:rPr>
                <w:i/>
                <w:sz w:val="24"/>
                <w:szCs w:val="24"/>
                <w:lang w:val="ky-KG"/>
              </w:rPr>
              <w:t xml:space="preserve">, среднемесячная заработная плата которых составила 32996 </w:t>
            </w:r>
            <w:r w:rsidRPr="00C44EE6">
              <w:rPr>
                <w:i/>
                <w:sz w:val="24"/>
                <w:szCs w:val="24"/>
              </w:rPr>
              <w:t>сом</w:t>
            </w:r>
            <w:r w:rsidRPr="00C44EE6">
              <w:rPr>
                <w:i/>
                <w:sz w:val="24"/>
                <w:szCs w:val="24"/>
                <w:lang w:val="ky-KG"/>
              </w:rPr>
              <w:t>а</w:t>
            </w:r>
            <w:r w:rsidRPr="00C44EE6">
              <w:rPr>
                <w:i/>
                <w:sz w:val="24"/>
                <w:szCs w:val="24"/>
              </w:rPr>
              <w:t>, что в</w:t>
            </w:r>
            <w:r w:rsidRPr="00C44EE6">
              <w:rPr>
                <w:i/>
                <w:sz w:val="24"/>
                <w:szCs w:val="24"/>
                <w:lang w:val="ky-KG"/>
              </w:rPr>
              <w:t xml:space="preserve"> 5,6 процента, </w:t>
            </w:r>
            <w:r w:rsidRPr="00C44EE6">
              <w:rPr>
                <w:i/>
                <w:sz w:val="24"/>
                <w:szCs w:val="24"/>
              </w:rPr>
              <w:t>финансово</w:t>
            </w:r>
            <w:r w:rsidRPr="00C44EE6">
              <w:rPr>
                <w:i/>
                <w:sz w:val="24"/>
                <w:szCs w:val="24"/>
                <w:lang w:val="ky-KG"/>
              </w:rPr>
              <w:t>го посредничества и страхования – 47669  сомов, или в 52,6 процента больше.</w:t>
            </w:r>
          </w:p>
        </w:tc>
      </w:tr>
      <w:tr w:rsidR="00343323" w:rsidRPr="00C44EE6" w14:paraId="617E0830" w14:textId="77777777" w:rsidTr="004D68D3">
        <w:tc>
          <w:tcPr>
            <w:tcW w:w="4820" w:type="dxa"/>
          </w:tcPr>
          <w:p w14:paraId="2398810B" w14:textId="77777777" w:rsidR="00C02589" w:rsidRPr="00C44EE6" w:rsidRDefault="00C02589" w:rsidP="00C02589">
            <w:pPr>
              <w:ind w:firstLine="743"/>
              <w:jc w:val="both"/>
              <w:rPr>
                <w:sz w:val="24"/>
                <w:szCs w:val="24"/>
                <w:lang w:val="ky-KG"/>
              </w:rPr>
            </w:pPr>
            <w:r w:rsidRPr="00C44EE6">
              <w:rPr>
                <w:sz w:val="24"/>
                <w:szCs w:val="24"/>
                <w:lang w:val="ky-KG"/>
              </w:rPr>
              <w:t xml:space="preserve">Ал эми кээ бир </w:t>
            </w:r>
            <w:proofErr w:type="spellStart"/>
            <w:r w:rsidRPr="00C44EE6">
              <w:rPr>
                <w:sz w:val="24"/>
                <w:szCs w:val="24"/>
              </w:rPr>
              <w:t>ишмерди</w:t>
            </w:r>
            <w:proofErr w:type="spellEnd"/>
            <w:r w:rsidRPr="00C44EE6">
              <w:rPr>
                <w:sz w:val="24"/>
                <w:szCs w:val="24"/>
                <w:lang w:val="ky-KG"/>
              </w:rPr>
              <w:t>к чөйрөсүнүн кызматкерлеринин орточо айлык акысы мейманканалар ресторандар ишмердиги 13275</w:t>
            </w:r>
            <w:r w:rsidRPr="00C44EE6">
              <w:rPr>
                <w:sz w:val="24"/>
                <w:szCs w:val="24"/>
              </w:rPr>
              <w:t xml:space="preserve"> сом</w:t>
            </w:r>
            <w:r w:rsidRPr="00C44EE6">
              <w:rPr>
                <w:sz w:val="24"/>
                <w:szCs w:val="24"/>
                <w:lang w:val="ky-KG"/>
              </w:rPr>
              <w:t>ду түзүп,</w:t>
            </w:r>
            <w:r w:rsidRPr="00C44EE6">
              <w:rPr>
                <w:sz w:val="24"/>
                <w:szCs w:val="24"/>
              </w:rPr>
              <w:t xml:space="preserve"> </w:t>
            </w:r>
            <w:r w:rsidRPr="00C44EE6">
              <w:rPr>
                <w:sz w:val="24"/>
                <w:szCs w:val="24"/>
                <w:lang w:val="ky-KG"/>
              </w:rPr>
              <w:t xml:space="preserve"> облустук деңгээлден 57,4 пайызга аз болгон,  дүң жана чекене соода; автоунааларды жана мотоциклдерди оңдоо – 22534 сомду (же 27,8 пайызга) искусство, көңүл ачуу жана эс алуу 21237 сомду (же 31,9</w:t>
            </w:r>
          </w:p>
          <w:p w14:paraId="2C9B5B6A" w14:textId="77777777" w:rsidR="00C02589" w:rsidRPr="00C44EE6" w:rsidRDefault="00C02589" w:rsidP="00C02589">
            <w:pPr>
              <w:ind w:firstLine="743"/>
              <w:jc w:val="both"/>
              <w:rPr>
                <w:sz w:val="24"/>
                <w:szCs w:val="24"/>
                <w:lang w:val="ky-KG"/>
              </w:rPr>
            </w:pPr>
          </w:p>
          <w:p w14:paraId="044A7086" w14:textId="795EB3D3" w:rsidR="00343323" w:rsidRPr="00C44EE6" w:rsidRDefault="00C02589" w:rsidP="00C02589">
            <w:pPr>
              <w:ind w:firstLine="743"/>
              <w:jc w:val="both"/>
              <w:rPr>
                <w:sz w:val="24"/>
                <w:szCs w:val="24"/>
                <w:lang w:val="ky-KG"/>
              </w:rPr>
            </w:pPr>
            <w:r w:rsidRPr="00C44EE6">
              <w:rPr>
                <w:sz w:val="24"/>
                <w:szCs w:val="24"/>
                <w:lang w:val="ky-KG"/>
              </w:rPr>
              <w:t xml:space="preserve"> пайызга) орточо айлык акыларынын көлөмү облустук деңгээлден төмөн болууда.</w:t>
            </w:r>
            <w:r w:rsidRPr="00C44EE6">
              <w:rPr>
                <w:sz w:val="24"/>
                <w:szCs w:val="24"/>
                <w:lang w:val="ky-KG"/>
              </w:rPr>
              <w:tab/>
            </w:r>
          </w:p>
        </w:tc>
        <w:tc>
          <w:tcPr>
            <w:tcW w:w="4677" w:type="dxa"/>
          </w:tcPr>
          <w:p w14:paraId="350EE453" w14:textId="77777777" w:rsidR="00C02589" w:rsidRPr="00C44EE6" w:rsidRDefault="00C02589" w:rsidP="00C02589">
            <w:pPr>
              <w:ind w:firstLine="743"/>
              <w:jc w:val="both"/>
              <w:rPr>
                <w:i/>
                <w:sz w:val="24"/>
                <w:szCs w:val="24"/>
                <w:lang w:val="ky-KG"/>
              </w:rPr>
            </w:pPr>
            <w:r w:rsidRPr="00C44EE6">
              <w:rPr>
                <w:i/>
                <w:sz w:val="24"/>
                <w:szCs w:val="24"/>
              </w:rPr>
              <w:t>Н</w:t>
            </w:r>
            <w:r w:rsidRPr="00C44EE6">
              <w:rPr>
                <w:i/>
                <w:sz w:val="24"/>
                <w:szCs w:val="24"/>
                <w:lang w:val="ky-KG"/>
              </w:rPr>
              <w:t>а много н</w:t>
            </w:r>
            <w:r w:rsidRPr="00C44EE6">
              <w:rPr>
                <w:i/>
                <w:sz w:val="24"/>
                <w:szCs w:val="24"/>
              </w:rPr>
              <w:t xml:space="preserve">иже областного уровня </w:t>
            </w:r>
            <w:r w:rsidRPr="00C44EE6">
              <w:rPr>
                <w:i/>
                <w:sz w:val="24"/>
                <w:szCs w:val="24"/>
                <w:lang w:val="ky-KG"/>
              </w:rPr>
              <w:t>вышла</w:t>
            </w:r>
            <w:r w:rsidRPr="00C44EE6">
              <w:rPr>
                <w:i/>
                <w:sz w:val="24"/>
                <w:szCs w:val="24"/>
              </w:rPr>
              <w:t xml:space="preserve"> заработная плата у работников, занятых в сфере </w:t>
            </w:r>
            <w:r w:rsidRPr="00C44EE6">
              <w:rPr>
                <w:i/>
                <w:sz w:val="24"/>
                <w:szCs w:val="24"/>
                <w:lang w:val="ky-KG"/>
              </w:rPr>
              <w:t xml:space="preserve">прочей обслуживающей </w:t>
            </w:r>
            <w:r w:rsidRPr="00C44EE6">
              <w:rPr>
                <w:i/>
                <w:sz w:val="24"/>
                <w:szCs w:val="24"/>
              </w:rPr>
              <w:t>деятельности</w:t>
            </w:r>
            <w:r w:rsidRPr="00C44EE6">
              <w:rPr>
                <w:i/>
                <w:sz w:val="24"/>
                <w:szCs w:val="24"/>
                <w:lang w:val="ky-KG"/>
              </w:rPr>
              <w:t>, которая составила сумму</w:t>
            </w:r>
          </w:p>
          <w:p w14:paraId="36CB7DB3" w14:textId="5AA3DD59" w:rsidR="00C02589" w:rsidRPr="00C44EE6" w:rsidRDefault="00C02589" w:rsidP="00C02589">
            <w:pPr>
              <w:ind w:firstLine="743"/>
              <w:jc w:val="both"/>
              <w:rPr>
                <w:sz w:val="24"/>
                <w:szCs w:val="24"/>
                <w:lang w:val="ky-KG"/>
              </w:rPr>
            </w:pPr>
            <w:r w:rsidRPr="00C44EE6">
              <w:rPr>
                <w:i/>
                <w:sz w:val="24"/>
                <w:szCs w:val="24"/>
                <w:lang w:val="ky-KG"/>
              </w:rPr>
              <w:t xml:space="preserve">   </w:t>
            </w:r>
            <w:r w:rsidRPr="00C44EE6">
              <w:rPr>
                <w:i/>
                <w:sz w:val="24"/>
                <w:szCs w:val="24"/>
              </w:rPr>
              <w:t>деятельность гостиниц</w:t>
            </w:r>
            <w:r w:rsidRPr="00C44EE6">
              <w:rPr>
                <w:i/>
                <w:sz w:val="24"/>
                <w:szCs w:val="24"/>
                <w:lang w:val="ky-KG"/>
              </w:rPr>
              <w:t xml:space="preserve"> и ресторанов 13275 сомов (на 57,4 </w:t>
            </w:r>
            <w:proofErr w:type="gramStart"/>
            <w:r w:rsidRPr="00C44EE6">
              <w:rPr>
                <w:i/>
                <w:sz w:val="24"/>
                <w:szCs w:val="24"/>
                <w:lang w:val="ky-KG"/>
              </w:rPr>
              <w:t xml:space="preserve">процента)  </w:t>
            </w:r>
            <w:r w:rsidRPr="00C44EE6">
              <w:rPr>
                <w:i/>
                <w:sz w:val="24"/>
                <w:szCs w:val="24"/>
              </w:rPr>
              <w:t xml:space="preserve"> </w:t>
            </w:r>
            <w:proofErr w:type="gramEnd"/>
            <w:r w:rsidRPr="00C44EE6">
              <w:rPr>
                <w:i/>
                <w:sz w:val="24"/>
                <w:szCs w:val="24"/>
              </w:rPr>
              <w:t>оптовой и розничной торговли; ремонта автомобилей</w:t>
            </w:r>
            <w:r w:rsidRPr="00C44EE6">
              <w:rPr>
                <w:i/>
                <w:sz w:val="24"/>
                <w:szCs w:val="24"/>
                <w:lang w:val="ky-KG"/>
              </w:rPr>
              <w:t xml:space="preserve"> и мотоциклов </w:t>
            </w:r>
            <w:r w:rsidRPr="00C44EE6">
              <w:rPr>
                <w:i/>
                <w:sz w:val="24"/>
                <w:szCs w:val="24"/>
              </w:rPr>
              <w:t>– 22534 сом</w:t>
            </w:r>
            <w:r w:rsidRPr="00C44EE6">
              <w:rPr>
                <w:i/>
                <w:sz w:val="24"/>
                <w:szCs w:val="24"/>
                <w:lang w:val="ky-KG"/>
              </w:rPr>
              <w:t xml:space="preserve">ов (на 27,8) искусство развлеченияи отдых 21237 </w:t>
            </w:r>
            <w:proofErr w:type="gramStart"/>
            <w:r w:rsidRPr="00C44EE6">
              <w:rPr>
                <w:i/>
                <w:sz w:val="24"/>
                <w:szCs w:val="24"/>
                <w:lang w:val="ky-KG"/>
              </w:rPr>
              <w:t>сомов(</w:t>
            </w:r>
            <w:proofErr w:type="gramEnd"/>
            <w:r w:rsidRPr="00C44EE6">
              <w:rPr>
                <w:i/>
                <w:sz w:val="24"/>
                <w:szCs w:val="24"/>
                <w:lang w:val="ky-KG"/>
              </w:rPr>
              <w:t xml:space="preserve">на 31,9 </w:t>
            </w:r>
            <w:proofErr w:type="gramStart"/>
            <w:r w:rsidRPr="00C44EE6">
              <w:rPr>
                <w:i/>
                <w:sz w:val="24"/>
                <w:szCs w:val="24"/>
                <w:lang w:val="ky-KG"/>
              </w:rPr>
              <w:t>процента)меньше</w:t>
            </w:r>
            <w:proofErr w:type="gramEnd"/>
            <w:r w:rsidRPr="00C44EE6">
              <w:rPr>
                <w:i/>
                <w:sz w:val="24"/>
                <w:szCs w:val="24"/>
                <w:lang w:val="ky-KG"/>
              </w:rPr>
              <w:t>.</w:t>
            </w:r>
          </w:p>
          <w:p w14:paraId="37A21EA2" w14:textId="7016280F" w:rsidR="00343323" w:rsidRPr="00C44EE6" w:rsidRDefault="00343323" w:rsidP="00343323">
            <w:pPr>
              <w:jc w:val="both"/>
              <w:rPr>
                <w:sz w:val="24"/>
                <w:szCs w:val="24"/>
                <w:lang w:val="ky-KG"/>
              </w:rPr>
            </w:pPr>
          </w:p>
        </w:tc>
      </w:tr>
    </w:tbl>
    <w:p w14:paraId="3B0D0363" w14:textId="77777777" w:rsidR="00936879" w:rsidRPr="00C44EE6" w:rsidRDefault="00936879" w:rsidP="00936879">
      <w:pPr>
        <w:rPr>
          <w:lang w:val="ky-KG"/>
        </w:rPr>
      </w:pPr>
    </w:p>
    <w:tbl>
      <w:tblPr>
        <w:tblW w:w="9854" w:type="dxa"/>
        <w:tblInd w:w="284" w:type="dxa"/>
        <w:tblLook w:val="04A0" w:firstRow="1" w:lastRow="0" w:firstColumn="1" w:lastColumn="0" w:noHBand="0" w:noVBand="1"/>
      </w:tblPr>
      <w:tblGrid>
        <w:gridCol w:w="927"/>
        <w:gridCol w:w="789"/>
        <w:gridCol w:w="789"/>
        <w:gridCol w:w="1879"/>
        <w:gridCol w:w="152"/>
        <w:gridCol w:w="10"/>
        <w:gridCol w:w="273"/>
        <w:gridCol w:w="1470"/>
        <w:gridCol w:w="1370"/>
        <w:gridCol w:w="2122"/>
        <w:gridCol w:w="73"/>
      </w:tblGrid>
      <w:tr w:rsidR="00C44EE6" w:rsidRPr="00C44EE6" w14:paraId="3819CF95" w14:textId="77777777" w:rsidTr="00372228">
        <w:trPr>
          <w:gridAfter w:val="1"/>
          <w:wAfter w:w="73" w:type="dxa"/>
        </w:trPr>
        <w:tc>
          <w:tcPr>
            <w:tcW w:w="4819" w:type="dxa"/>
            <w:gridSpan w:val="7"/>
          </w:tcPr>
          <w:p w14:paraId="7D47C0A8" w14:textId="0E5AC5AB" w:rsidR="007227E2" w:rsidRPr="00C44EE6" w:rsidRDefault="007227E2" w:rsidP="007227E2">
            <w:pPr>
              <w:ind w:firstLine="34"/>
              <w:jc w:val="both"/>
              <w:rPr>
                <w:rFonts w:ascii="Times New Roman UniToktom" w:hAnsi="Times New Roman UniToktom" w:cs="Times New Roman UniToktom"/>
                <w:sz w:val="24"/>
                <w:szCs w:val="24"/>
                <w:lang w:val="ky-KG"/>
              </w:rPr>
            </w:pPr>
            <w:r w:rsidRPr="00C44EE6">
              <w:rPr>
                <w:rFonts w:ascii="Times New Roman UniToktom" w:hAnsi="Times New Roman UniToktom" w:cs="Times New Roman UniToktom"/>
                <w:sz w:val="24"/>
                <w:szCs w:val="24"/>
                <w:lang w:val="ky-KG"/>
              </w:rPr>
              <w:t xml:space="preserve">     Облус боюнча 2024-жылдын аягына карата айлык акы төлөө боюнча карыздын жалпы суммасы 22638,2 миң сомду түздү, бул көрсөткүч 2023-жылдын тийиштүү мезгилине салыштырмалуу 37,2 пайызга азайган.</w:t>
            </w:r>
          </w:p>
        </w:tc>
        <w:tc>
          <w:tcPr>
            <w:tcW w:w="4962" w:type="dxa"/>
            <w:gridSpan w:val="3"/>
          </w:tcPr>
          <w:p w14:paraId="44B6E91D" w14:textId="39FE0715" w:rsidR="007227E2" w:rsidRPr="00C44EE6" w:rsidRDefault="007227E2" w:rsidP="007227E2">
            <w:pPr>
              <w:ind w:firstLine="708"/>
              <w:jc w:val="both"/>
              <w:rPr>
                <w:i/>
                <w:sz w:val="24"/>
                <w:szCs w:val="24"/>
                <w:highlight w:val="yellow"/>
              </w:rPr>
            </w:pPr>
            <w:r w:rsidRPr="00C44EE6">
              <w:rPr>
                <w:i/>
                <w:sz w:val="24"/>
              </w:rPr>
              <w:t>Сумма общей задолженности по выплате заработной платы на конец 2024 года составила 22638,2</w:t>
            </w:r>
            <w:r w:rsidRPr="00C44EE6">
              <w:rPr>
                <w:i/>
                <w:sz w:val="24"/>
                <w:lang w:val="ky-KG"/>
              </w:rPr>
              <w:t xml:space="preserve"> </w:t>
            </w:r>
            <w:r w:rsidRPr="00C44EE6">
              <w:rPr>
                <w:i/>
                <w:sz w:val="24"/>
              </w:rPr>
              <w:t>тыс. сомов, что</w:t>
            </w:r>
            <w:r w:rsidRPr="00C44EE6">
              <w:rPr>
                <w:i/>
                <w:sz w:val="24"/>
                <w:lang w:val="ky-KG"/>
              </w:rPr>
              <w:t xml:space="preserve"> на 37,2 процента </w:t>
            </w:r>
            <w:proofErr w:type="gramStart"/>
            <w:r w:rsidRPr="00C44EE6">
              <w:rPr>
                <w:i/>
                <w:sz w:val="24"/>
                <w:lang w:val="ky-KG"/>
              </w:rPr>
              <w:t>уменшилась  чем</w:t>
            </w:r>
            <w:proofErr w:type="gramEnd"/>
            <w:r w:rsidRPr="00C44EE6">
              <w:rPr>
                <w:i/>
                <w:sz w:val="24"/>
                <w:lang w:val="ky-KG"/>
              </w:rPr>
              <w:t xml:space="preserve"> прошлого года.</w:t>
            </w:r>
          </w:p>
        </w:tc>
      </w:tr>
      <w:tr w:rsidR="007227E2" w:rsidRPr="00947ABD" w14:paraId="4C10DB63" w14:textId="77777777" w:rsidTr="00372228">
        <w:trPr>
          <w:gridAfter w:val="1"/>
          <w:wAfter w:w="73" w:type="dxa"/>
        </w:trPr>
        <w:tc>
          <w:tcPr>
            <w:tcW w:w="4819" w:type="dxa"/>
            <w:gridSpan w:val="7"/>
          </w:tcPr>
          <w:p w14:paraId="513D5CFF" w14:textId="6B84F9D9" w:rsidR="007227E2" w:rsidRPr="00C62B45" w:rsidRDefault="007227E2" w:rsidP="007227E2">
            <w:pPr>
              <w:ind w:firstLine="708"/>
              <w:jc w:val="both"/>
              <w:rPr>
                <w:sz w:val="24"/>
                <w:szCs w:val="24"/>
              </w:rPr>
            </w:pPr>
            <w:r w:rsidRPr="00C62B45">
              <w:rPr>
                <w:sz w:val="24"/>
                <w:lang w:val="ky-KG"/>
              </w:rPr>
              <w:t>2020-жылга салыштырмалуу 2024-жылы айлык</w:t>
            </w:r>
            <w:r w:rsidRPr="00C62B45">
              <w:rPr>
                <w:rFonts w:ascii="Times New Roman UniToktom" w:hAnsi="Times New Roman UniToktom" w:cs="Times New Roman UniToktom"/>
                <w:sz w:val="24"/>
                <w:szCs w:val="24"/>
                <w:lang w:val="ky-KG"/>
              </w:rPr>
              <w:t xml:space="preserve"> акы төлөө боюнча карыздын суммасы 27,7</w:t>
            </w:r>
            <w:r w:rsidRPr="00C62B45">
              <w:rPr>
                <w:sz w:val="24"/>
                <w:lang w:val="ky-KG"/>
              </w:rPr>
              <w:t xml:space="preserve"> пайызга азайган (же -8698,7 миң сомго азайган)</w:t>
            </w:r>
            <w:r w:rsidRPr="00C62B45">
              <w:rPr>
                <w:sz w:val="24"/>
              </w:rPr>
              <w:t xml:space="preserve">. </w:t>
            </w:r>
          </w:p>
        </w:tc>
        <w:tc>
          <w:tcPr>
            <w:tcW w:w="4962" w:type="dxa"/>
            <w:gridSpan w:val="3"/>
          </w:tcPr>
          <w:p w14:paraId="3A25829F" w14:textId="1A44C7D7" w:rsidR="007227E2" w:rsidRPr="00C62B45" w:rsidRDefault="007227E2" w:rsidP="007227E2">
            <w:pPr>
              <w:ind w:left="176" w:firstLine="532"/>
              <w:jc w:val="both"/>
              <w:rPr>
                <w:i/>
                <w:sz w:val="24"/>
                <w:szCs w:val="24"/>
                <w:highlight w:val="yellow"/>
              </w:rPr>
            </w:pPr>
            <w:r w:rsidRPr="00C62B45">
              <w:rPr>
                <w:i/>
                <w:sz w:val="24"/>
              </w:rPr>
              <w:t xml:space="preserve">По сравнению с </w:t>
            </w:r>
            <w:r w:rsidRPr="00C62B45">
              <w:rPr>
                <w:i/>
                <w:sz w:val="24"/>
                <w:lang w:val="ky-KG"/>
              </w:rPr>
              <w:t xml:space="preserve">2020 </w:t>
            </w:r>
            <w:r w:rsidRPr="00C62B45">
              <w:rPr>
                <w:i/>
                <w:sz w:val="24"/>
              </w:rPr>
              <w:t>годом в 2024 году задолженность по выплате заработной платы у</w:t>
            </w:r>
            <w:r w:rsidRPr="00C62B45">
              <w:rPr>
                <w:i/>
                <w:sz w:val="24"/>
                <w:lang w:val="ky-KG"/>
              </w:rPr>
              <w:t>меншилас</w:t>
            </w:r>
            <w:r w:rsidRPr="00C62B45">
              <w:rPr>
                <w:i/>
                <w:sz w:val="24"/>
              </w:rPr>
              <w:t xml:space="preserve">ь </w:t>
            </w:r>
            <w:r w:rsidRPr="00C62B45">
              <w:rPr>
                <w:i/>
                <w:sz w:val="24"/>
                <w:lang w:val="ky-KG"/>
              </w:rPr>
              <w:t>в 27,7 процента</w:t>
            </w:r>
            <w:r w:rsidRPr="00C62B45">
              <w:rPr>
                <w:i/>
                <w:sz w:val="24"/>
              </w:rPr>
              <w:t xml:space="preserve"> (</w:t>
            </w:r>
            <w:r w:rsidRPr="00C62B45">
              <w:rPr>
                <w:i/>
                <w:sz w:val="24"/>
                <w:lang w:val="ky-KG"/>
              </w:rPr>
              <w:t xml:space="preserve">или </w:t>
            </w:r>
            <w:r w:rsidRPr="00C62B45">
              <w:rPr>
                <w:i/>
                <w:sz w:val="24"/>
              </w:rPr>
              <w:t xml:space="preserve">на </w:t>
            </w:r>
            <w:r w:rsidRPr="00C62B45">
              <w:rPr>
                <w:i/>
                <w:sz w:val="24"/>
                <w:lang w:val="ky-KG"/>
              </w:rPr>
              <w:t>-8698,7</w:t>
            </w:r>
            <w:r w:rsidRPr="00C62B45">
              <w:rPr>
                <w:i/>
                <w:sz w:val="24"/>
              </w:rPr>
              <w:t xml:space="preserve"> тыс. сомов). </w:t>
            </w:r>
          </w:p>
        </w:tc>
      </w:tr>
      <w:tr w:rsidR="007227E2" w:rsidRPr="00947ABD" w14:paraId="09C90090" w14:textId="77777777" w:rsidTr="00372228">
        <w:trPr>
          <w:gridAfter w:val="1"/>
          <w:wAfter w:w="73" w:type="dxa"/>
        </w:trPr>
        <w:tc>
          <w:tcPr>
            <w:tcW w:w="4819" w:type="dxa"/>
            <w:gridSpan w:val="7"/>
          </w:tcPr>
          <w:p w14:paraId="3DBD45B3" w14:textId="17814066" w:rsidR="007227E2" w:rsidRPr="00C62B45" w:rsidRDefault="007227E2" w:rsidP="00372228">
            <w:pPr>
              <w:ind w:firstLine="603"/>
              <w:jc w:val="both"/>
              <w:rPr>
                <w:rFonts w:ascii="Times New Roman UniToktom" w:hAnsi="Times New Roman UniToktom" w:cs="Times New Roman UniToktom"/>
                <w:sz w:val="24"/>
                <w:szCs w:val="24"/>
                <w:lang w:val="ky-KG"/>
              </w:rPr>
            </w:pPr>
            <w:r w:rsidRPr="00C62B45">
              <w:rPr>
                <w:rFonts w:ascii="Times New Roman UniToktom" w:hAnsi="Times New Roman UniToktom" w:cs="Times New Roman UniToktom"/>
                <w:sz w:val="24"/>
                <w:szCs w:val="24"/>
                <w:lang w:val="ky-KG"/>
              </w:rPr>
              <w:t xml:space="preserve">Айлык акы төлөө боюнча карыздын суммасы төмөнкү тармактарга таандык: курулуш </w:t>
            </w:r>
            <w:proofErr w:type="spellStart"/>
            <w:r w:rsidRPr="00C62B45">
              <w:rPr>
                <w:rFonts w:ascii="Times New Roman UniToktom" w:hAnsi="Times New Roman UniToktom" w:cs="Times New Roman UniToktom"/>
                <w:sz w:val="24"/>
                <w:szCs w:val="24"/>
              </w:rPr>
              <w:t>тармагына</w:t>
            </w:r>
            <w:proofErr w:type="spellEnd"/>
            <w:r w:rsidRPr="00C62B45">
              <w:rPr>
                <w:rFonts w:ascii="Times New Roman UniToktom" w:hAnsi="Times New Roman UniToktom" w:cs="Times New Roman UniToktom"/>
                <w:sz w:val="24"/>
                <w:szCs w:val="24"/>
              </w:rPr>
              <w:t xml:space="preserve"> 22628,3</w:t>
            </w:r>
            <w:r w:rsidRPr="00C62B45">
              <w:rPr>
                <w:rFonts w:ascii="Times New Roman UniToktom" w:hAnsi="Times New Roman UniToktom" w:cs="Times New Roman UniToktom"/>
                <w:sz w:val="24"/>
                <w:szCs w:val="24"/>
                <w:lang w:val="ky-KG"/>
              </w:rPr>
              <w:t xml:space="preserve"> миң сом жана  башка тейлөө ишмердигине 9,9 миң сом.</w:t>
            </w:r>
          </w:p>
        </w:tc>
        <w:tc>
          <w:tcPr>
            <w:tcW w:w="4962" w:type="dxa"/>
            <w:gridSpan w:val="3"/>
          </w:tcPr>
          <w:p w14:paraId="2127AA9D" w14:textId="078C296C" w:rsidR="007227E2" w:rsidRPr="00C62B45" w:rsidRDefault="007227E2" w:rsidP="007227E2">
            <w:pPr>
              <w:ind w:firstLine="708"/>
              <w:jc w:val="both"/>
              <w:rPr>
                <w:i/>
                <w:sz w:val="24"/>
                <w:highlight w:val="yellow"/>
                <w:lang w:val="ky-KG"/>
              </w:rPr>
            </w:pPr>
            <w:r w:rsidRPr="00C62B45">
              <w:rPr>
                <w:i/>
                <w:sz w:val="24"/>
                <w:lang w:val="ky-KG"/>
              </w:rPr>
              <w:t>З</w:t>
            </w:r>
            <w:proofErr w:type="spellStart"/>
            <w:r w:rsidRPr="00C62B45">
              <w:rPr>
                <w:i/>
                <w:sz w:val="24"/>
              </w:rPr>
              <w:t>адолженности</w:t>
            </w:r>
            <w:proofErr w:type="spellEnd"/>
            <w:r w:rsidRPr="00C62B45">
              <w:rPr>
                <w:i/>
                <w:sz w:val="24"/>
              </w:rPr>
              <w:t xml:space="preserve"> по заработной плате приходится на долю</w:t>
            </w:r>
            <w:r w:rsidRPr="00C62B45">
              <w:rPr>
                <w:i/>
                <w:sz w:val="24"/>
                <w:lang w:val="ky-KG"/>
              </w:rPr>
              <w:t xml:space="preserve"> организаций, занятых в сфере строительства 22628,3 тыс. сомов и </w:t>
            </w:r>
            <w:r w:rsidRPr="00C62B45">
              <w:rPr>
                <w:rFonts w:ascii="Times New Roman CYR" w:hAnsi="Times New Roman CYR" w:cs="Times New Roman CYR"/>
                <w:i/>
                <w:iCs/>
                <w:sz w:val="24"/>
                <w:szCs w:val="24"/>
                <w:lang w:val="ky-KG"/>
              </w:rPr>
              <w:t xml:space="preserve"> </w:t>
            </w:r>
            <w:r w:rsidRPr="00C62B45">
              <w:rPr>
                <w:i/>
                <w:sz w:val="24"/>
                <w:lang w:val="ky-KG"/>
              </w:rPr>
              <w:t>прочоя обслуживайщая деятельность 9,9 тыс. сомов.</w:t>
            </w:r>
          </w:p>
        </w:tc>
      </w:tr>
      <w:tr w:rsidR="007227E2" w:rsidRPr="00947ABD" w14:paraId="02726D30" w14:textId="77777777" w:rsidTr="00372228">
        <w:trPr>
          <w:gridAfter w:val="1"/>
          <w:wAfter w:w="73" w:type="dxa"/>
        </w:trPr>
        <w:tc>
          <w:tcPr>
            <w:tcW w:w="4819" w:type="dxa"/>
            <w:gridSpan w:val="7"/>
          </w:tcPr>
          <w:p w14:paraId="7F273846" w14:textId="40547234" w:rsidR="007227E2" w:rsidRPr="00C62B45" w:rsidRDefault="007227E2" w:rsidP="007227E2">
            <w:pPr>
              <w:ind w:firstLine="708"/>
              <w:jc w:val="both"/>
              <w:rPr>
                <w:sz w:val="24"/>
                <w:highlight w:val="yellow"/>
              </w:rPr>
            </w:pPr>
            <w:r w:rsidRPr="00C62B45">
              <w:rPr>
                <w:rFonts w:ascii="Times New Roman UniToktom" w:hAnsi="Times New Roman UniToktom" w:cs="Times New Roman UniToktom"/>
                <w:sz w:val="24"/>
                <w:szCs w:val="24"/>
                <w:lang w:val="ky-KG"/>
              </w:rPr>
              <w:t xml:space="preserve">Бир кызматкерге карата болгон карыздын суммасы 278,5 сомду түздү. </w:t>
            </w:r>
          </w:p>
        </w:tc>
        <w:tc>
          <w:tcPr>
            <w:tcW w:w="4962" w:type="dxa"/>
            <w:gridSpan w:val="3"/>
          </w:tcPr>
          <w:p w14:paraId="1EA6DCD4" w14:textId="3CF09DE0" w:rsidR="007227E2" w:rsidRPr="00C62B45" w:rsidRDefault="007227E2" w:rsidP="007227E2">
            <w:pPr>
              <w:ind w:firstLine="708"/>
              <w:jc w:val="both"/>
              <w:rPr>
                <w:i/>
                <w:sz w:val="24"/>
                <w:highlight w:val="yellow"/>
              </w:rPr>
            </w:pPr>
            <w:r w:rsidRPr="00C62B45">
              <w:rPr>
                <w:i/>
                <w:sz w:val="24"/>
              </w:rPr>
              <w:t>Задолженность в расчете на одного работающего по области составила – 278,5</w:t>
            </w:r>
            <w:r w:rsidRPr="00C62B45">
              <w:rPr>
                <w:i/>
                <w:sz w:val="24"/>
                <w:lang w:val="ky-KG"/>
              </w:rPr>
              <w:t xml:space="preserve"> </w:t>
            </w:r>
            <w:r w:rsidRPr="00C62B45">
              <w:rPr>
                <w:i/>
                <w:sz w:val="24"/>
              </w:rPr>
              <w:t>сом</w:t>
            </w:r>
            <w:r w:rsidRPr="00C62B45">
              <w:rPr>
                <w:i/>
                <w:sz w:val="24"/>
                <w:lang w:val="ky-KG"/>
              </w:rPr>
              <w:t>ов</w:t>
            </w:r>
            <w:r w:rsidRPr="00C62B45">
              <w:rPr>
                <w:i/>
                <w:sz w:val="24"/>
              </w:rPr>
              <w:t>.</w:t>
            </w:r>
            <w:r w:rsidRPr="00C62B45">
              <w:rPr>
                <w:i/>
                <w:sz w:val="24"/>
                <w:lang w:val="ky-KG"/>
              </w:rPr>
              <w:t xml:space="preserve"> </w:t>
            </w:r>
          </w:p>
        </w:tc>
      </w:tr>
      <w:tr w:rsidR="007227E2" w:rsidRPr="00947ABD" w14:paraId="7B5A1095" w14:textId="77777777" w:rsidTr="00372228">
        <w:trPr>
          <w:gridAfter w:val="1"/>
          <w:wAfter w:w="73" w:type="dxa"/>
        </w:trPr>
        <w:tc>
          <w:tcPr>
            <w:tcW w:w="4819" w:type="dxa"/>
            <w:gridSpan w:val="7"/>
          </w:tcPr>
          <w:p w14:paraId="7AD37871" w14:textId="68D1609D" w:rsidR="007227E2" w:rsidRPr="00C62B45" w:rsidRDefault="007227E2" w:rsidP="007227E2">
            <w:pPr>
              <w:ind w:firstLine="708"/>
              <w:jc w:val="both"/>
              <w:rPr>
                <w:sz w:val="24"/>
              </w:rPr>
            </w:pPr>
            <w:r w:rsidRPr="00C62B45">
              <w:rPr>
                <w:rFonts w:ascii="Times New Roman UniToktom" w:hAnsi="Times New Roman UniToktom" w:cs="Times New Roman UniToktom"/>
                <w:sz w:val="24"/>
                <w:szCs w:val="24"/>
                <w:lang w:val="ky-KG"/>
              </w:rPr>
              <w:t>Айлык акы төлөө боюнча жалпы  карыз  2024-жылдын аягына Кара-Көл шаарына таандык.</w:t>
            </w:r>
          </w:p>
        </w:tc>
        <w:tc>
          <w:tcPr>
            <w:tcW w:w="4962" w:type="dxa"/>
            <w:gridSpan w:val="3"/>
          </w:tcPr>
          <w:p w14:paraId="1DC07520" w14:textId="7E1E39DB" w:rsidR="007227E2" w:rsidRPr="00C62B45" w:rsidRDefault="007227E2" w:rsidP="007227E2">
            <w:pPr>
              <w:ind w:firstLine="708"/>
              <w:jc w:val="both"/>
              <w:rPr>
                <w:i/>
                <w:sz w:val="24"/>
                <w:highlight w:val="yellow"/>
              </w:rPr>
            </w:pPr>
            <w:r w:rsidRPr="00C62B45">
              <w:rPr>
                <w:i/>
                <w:sz w:val="24"/>
              </w:rPr>
              <w:t>Задолженность</w:t>
            </w:r>
            <w:r w:rsidRPr="00C62B45">
              <w:rPr>
                <w:i/>
                <w:sz w:val="24"/>
                <w:lang w:val="ky-KG"/>
              </w:rPr>
              <w:t xml:space="preserve"> </w:t>
            </w:r>
            <w:r w:rsidRPr="00C62B45">
              <w:rPr>
                <w:i/>
                <w:sz w:val="24"/>
              </w:rPr>
              <w:t xml:space="preserve">по выплате заработной </w:t>
            </w:r>
            <w:proofErr w:type="gramStart"/>
            <w:r w:rsidRPr="00C62B45">
              <w:rPr>
                <w:i/>
                <w:sz w:val="24"/>
              </w:rPr>
              <w:t xml:space="preserve">плате </w:t>
            </w:r>
            <w:r w:rsidRPr="00C62B45">
              <w:rPr>
                <w:i/>
                <w:sz w:val="24"/>
                <w:lang w:val="ky-KG"/>
              </w:rPr>
              <w:t xml:space="preserve"> конец</w:t>
            </w:r>
            <w:proofErr w:type="gramEnd"/>
            <w:r w:rsidRPr="00C62B45">
              <w:rPr>
                <w:i/>
                <w:sz w:val="24"/>
                <w:lang w:val="ky-KG"/>
              </w:rPr>
              <w:t xml:space="preserve"> 2024 года</w:t>
            </w:r>
            <w:r w:rsidRPr="00C62B45">
              <w:rPr>
                <w:i/>
                <w:sz w:val="24"/>
              </w:rPr>
              <w:t xml:space="preserve"> </w:t>
            </w:r>
            <w:proofErr w:type="spellStart"/>
            <w:r w:rsidRPr="00C62B45">
              <w:rPr>
                <w:i/>
                <w:sz w:val="24"/>
              </w:rPr>
              <w:t>принадлежить</w:t>
            </w:r>
            <w:proofErr w:type="spellEnd"/>
            <w:r w:rsidRPr="00C62B45">
              <w:rPr>
                <w:i/>
                <w:sz w:val="24"/>
              </w:rPr>
              <w:t xml:space="preserve"> на город </w:t>
            </w:r>
            <w:r w:rsidRPr="00C62B45">
              <w:rPr>
                <w:i/>
                <w:sz w:val="24"/>
                <w:lang w:val="ky-KG"/>
              </w:rPr>
              <w:t xml:space="preserve">Кара-Куль в сумме 22638,2 </w:t>
            </w:r>
            <w:r w:rsidRPr="00C62B45">
              <w:rPr>
                <w:i/>
                <w:sz w:val="24"/>
              </w:rPr>
              <w:t>тыс. сом</w:t>
            </w:r>
            <w:r w:rsidRPr="00C62B45">
              <w:rPr>
                <w:i/>
                <w:sz w:val="24"/>
                <w:lang w:val="ky-KG"/>
              </w:rPr>
              <w:t>ов</w:t>
            </w:r>
            <w:r w:rsidRPr="00C62B45">
              <w:rPr>
                <w:i/>
                <w:sz w:val="24"/>
              </w:rPr>
              <w:t>.</w:t>
            </w:r>
          </w:p>
        </w:tc>
      </w:tr>
      <w:tr w:rsidR="00C62B45" w:rsidRPr="00C62B45" w14:paraId="320C3876" w14:textId="77777777" w:rsidTr="00372228">
        <w:trPr>
          <w:gridAfter w:val="1"/>
          <w:wAfter w:w="73" w:type="dxa"/>
        </w:trPr>
        <w:tc>
          <w:tcPr>
            <w:tcW w:w="4819" w:type="dxa"/>
            <w:gridSpan w:val="7"/>
          </w:tcPr>
          <w:p w14:paraId="493B1AAA" w14:textId="20EFC544" w:rsidR="008534F9" w:rsidRPr="00C62B45" w:rsidRDefault="008534F9" w:rsidP="008534F9">
            <w:pPr>
              <w:pStyle w:val="24"/>
              <w:ind w:firstLine="720"/>
              <w:jc w:val="both"/>
              <w:rPr>
                <w:rFonts w:ascii="Times New Roman UniToktom" w:hAnsi="Times New Roman UniToktom" w:cs="Times New Roman UniToktom"/>
                <w:sz w:val="24"/>
                <w:szCs w:val="24"/>
              </w:rPr>
            </w:pPr>
            <w:r w:rsidRPr="00C62B45">
              <w:rPr>
                <w:rFonts w:ascii="Times New Roman UniToktom" w:hAnsi="Times New Roman UniToktom" w:cs="Times New Roman UniToktom"/>
                <w:b/>
                <w:sz w:val="24"/>
                <w:szCs w:val="24"/>
                <w:lang w:val="ky-KG"/>
              </w:rPr>
              <w:t>2024-жылга</w:t>
            </w:r>
            <w:r w:rsidRPr="00C62B45">
              <w:rPr>
                <w:rFonts w:ascii="Times New Roman UniToktom" w:hAnsi="Times New Roman UniToktom" w:cs="Times New Roman UniToktom"/>
                <w:sz w:val="24"/>
                <w:szCs w:val="24"/>
                <w:lang w:val="ky-KG"/>
              </w:rPr>
              <w:t xml:space="preserve"> </w:t>
            </w:r>
            <w:r w:rsidRPr="00C62B45">
              <w:rPr>
                <w:rFonts w:ascii="Times New Roman UniToktom" w:hAnsi="Times New Roman UniToktom" w:cs="Times New Roman UniToktom"/>
                <w:b/>
                <w:sz w:val="24"/>
                <w:szCs w:val="24"/>
                <w:lang w:val="ky-KG"/>
              </w:rPr>
              <w:t>экономикалык жактан активдүү калктын саны</w:t>
            </w:r>
            <w:r w:rsidRPr="00C62B45">
              <w:rPr>
                <w:rFonts w:ascii="Times New Roman UniToktom" w:hAnsi="Times New Roman UniToktom" w:cs="Times New Roman UniToktom"/>
                <w:sz w:val="24"/>
                <w:szCs w:val="24"/>
                <w:lang w:val="ky-KG"/>
              </w:rPr>
              <w:t xml:space="preserve"> Жалал-Абад облусу боюнча 15 жаш жана андан  жогорулары 447,8 миң адамды түзгөн, же 2023-жылга салыштырмалуу 3,1 пайызга азайган. Экономикалык активдүү иш-аракеттегилер 53,4 пайызды түзгөн</w:t>
            </w:r>
            <w:r w:rsidRPr="00C62B45">
              <w:rPr>
                <w:rFonts w:ascii="Times New Roman UniToktom" w:hAnsi="Times New Roman UniToktom" w:cs="Times New Roman UniToktom"/>
                <w:sz w:val="24"/>
                <w:szCs w:val="24"/>
              </w:rPr>
              <w:t>.</w:t>
            </w:r>
          </w:p>
        </w:tc>
        <w:tc>
          <w:tcPr>
            <w:tcW w:w="4962" w:type="dxa"/>
            <w:gridSpan w:val="3"/>
          </w:tcPr>
          <w:p w14:paraId="7B7AD361" w14:textId="678BA5A1" w:rsidR="008534F9" w:rsidRPr="00C62B45" w:rsidRDefault="008534F9" w:rsidP="008534F9">
            <w:pPr>
              <w:pStyle w:val="24"/>
              <w:ind w:firstLine="688"/>
              <w:jc w:val="both"/>
              <w:rPr>
                <w:i/>
                <w:sz w:val="24"/>
                <w:lang w:val="ky-KG"/>
              </w:rPr>
            </w:pPr>
            <w:r w:rsidRPr="00C62B45">
              <w:rPr>
                <w:b/>
                <w:i/>
                <w:sz w:val="24"/>
                <w:szCs w:val="24"/>
              </w:rPr>
              <w:t>Экономически активное население</w:t>
            </w:r>
            <w:r w:rsidRPr="00C62B45">
              <w:rPr>
                <w:i/>
                <w:sz w:val="24"/>
                <w:szCs w:val="24"/>
              </w:rPr>
              <w:t xml:space="preserve"> в возрасте 15 лет и старше по </w:t>
            </w:r>
            <w:r w:rsidRPr="00C62B45">
              <w:rPr>
                <w:i/>
                <w:sz w:val="24"/>
                <w:szCs w:val="24"/>
                <w:lang w:val="ky-KG"/>
              </w:rPr>
              <w:t>Джалал-абадский</w:t>
            </w:r>
            <w:r w:rsidRPr="00C62B45">
              <w:rPr>
                <w:i/>
                <w:sz w:val="24"/>
                <w:szCs w:val="24"/>
              </w:rPr>
              <w:t xml:space="preserve"> области в 20</w:t>
            </w:r>
            <w:r w:rsidRPr="00C62B45">
              <w:rPr>
                <w:i/>
                <w:sz w:val="24"/>
                <w:szCs w:val="24"/>
                <w:lang w:val="ky-KG"/>
              </w:rPr>
              <w:t>24</w:t>
            </w:r>
            <w:r w:rsidRPr="00C62B45">
              <w:rPr>
                <w:i/>
                <w:sz w:val="24"/>
                <w:szCs w:val="24"/>
              </w:rPr>
              <w:t xml:space="preserve"> году составило </w:t>
            </w:r>
            <w:r w:rsidRPr="00C62B45">
              <w:rPr>
                <w:i/>
                <w:sz w:val="24"/>
                <w:szCs w:val="24"/>
                <w:lang w:val="ky-KG"/>
              </w:rPr>
              <w:t>447,8</w:t>
            </w:r>
            <w:r w:rsidRPr="00C62B45">
              <w:rPr>
                <w:i/>
                <w:sz w:val="24"/>
                <w:szCs w:val="24"/>
              </w:rPr>
              <w:t xml:space="preserve"> тыс. человек, что на 3,1 процента </w:t>
            </w:r>
            <w:r w:rsidRPr="00C62B45">
              <w:rPr>
                <w:i/>
                <w:sz w:val="24"/>
                <w:szCs w:val="24"/>
                <w:lang w:val="ky-KG"/>
              </w:rPr>
              <w:t>мень</w:t>
            </w:r>
            <w:proofErr w:type="spellStart"/>
            <w:r w:rsidRPr="00C62B45">
              <w:rPr>
                <w:i/>
                <w:sz w:val="24"/>
                <w:szCs w:val="24"/>
              </w:rPr>
              <w:t>ше</w:t>
            </w:r>
            <w:proofErr w:type="spellEnd"/>
            <w:r w:rsidRPr="00C62B45">
              <w:rPr>
                <w:i/>
                <w:sz w:val="24"/>
                <w:szCs w:val="24"/>
              </w:rPr>
              <w:t xml:space="preserve"> соответствующего периода 20</w:t>
            </w:r>
            <w:r w:rsidRPr="00C62B45">
              <w:rPr>
                <w:i/>
                <w:sz w:val="24"/>
                <w:szCs w:val="24"/>
                <w:lang w:val="ky-KG"/>
              </w:rPr>
              <w:t>23</w:t>
            </w:r>
            <w:r w:rsidRPr="00C62B45">
              <w:rPr>
                <w:i/>
                <w:sz w:val="24"/>
                <w:szCs w:val="24"/>
              </w:rPr>
              <w:t xml:space="preserve">г. Уровень экономической активности составил </w:t>
            </w:r>
            <w:r w:rsidRPr="00C62B45">
              <w:rPr>
                <w:i/>
                <w:sz w:val="24"/>
                <w:szCs w:val="24"/>
                <w:lang w:val="ky-KG"/>
              </w:rPr>
              <w:t>53,4</w:t>
            </w:r>
            <w:r w:rsidRPr="00C62B45">
              <w:rPr>
                <w:i/>
                <w:sz w:val="24"/>
                <w:szCs w:val="24"/>
              </w:rPr>
              <w:t xml:space="preserve"> процента. </w:t>
            </w:r>
          </w:p>
        </w:tc>
      </w:tr>
      <w:tr w:rsidR="00C62B45" w:rsidRPr="00C62B45" w14:paraId="4CD7CF49" w14:textId="77777777" w:rsidTr="00372228">
        <w:trPr>
          <w:gridAfter w:val="1"/>
          <w:wAfter w:w="73" w:type="dxa"/>
        </w:trPr>
        <w:tc>
          <w:tcPr>
            <w:tcW w:w="4819" w:type="dxa"/>
            <w:gridSpan w:val="7"/>
          </w:tcPr>
          <w:p w14:paraId="19DEC30A" w14:textId="36423C9D" w:rsidR="008534F9" w:rsidRPr="00C62B45" w:rsidRDefault="008534F9" w:rsidP="008534F9">
            <w:pPr>
              <w:pStyle w:val="24"/>
              <w:ind w:firstLine="720"/>
              <w:jc w:val="both"/>
              <w:rPr>
                <w:rFonts w:ascii="Times New Roman UniToktom" w:hAnsi="Times New Roman UniToktom" w:cs="Times New Roman UniToktom"/>
                <w:sz w:val="24"/>
                <w:szCs w:val="24"/>
                <w:highlight w:val="yellow"/>
                <w:lang w:val="ky-KG"/>
              </w:rPr>
            </w:pPr>
            <w:r w:rsidRPr="00C62B45">
              <w:rPr>
                <w:rFonts w:ascii="Times New Roman UniToktom" w:hAnsi="Times New Roman UniToktom" w:cs="Times New Roman UniToktom"/>
                <w:sz w:val="24"/>
                <w:szCs w:val="24"/>
                <w:lang w:val="ky-KG"/>
              </w:rPr>
              <w:t>Анын ичинен: жумуш менен камсыз болгондор 92,8 пайызга барабар же 415,8 миң адамды түзүп,  2023-жылга салыштырмалуу 4,3 пайызга көбөйгөн  (жэ 28,5 миң адамга аз) ал эми 2020-жылга салыштырмалуу 4,4 пайызга көп болгон.</w:t>
            </w:r>
          </w:p>
        </w:tc>
        <w:tc>
          <w:tcPr>
            <w:tcW w:w="4962" w:type="dxa"/>
            <w:gridSpan w:val="3"/>
          </w:tcPr>
          <w:p w14:paraId="11ED04A4" w14:textId="7A07AE69" w:rsidR="008534F9" w:rsidRPr="00C62B45" w:rsidRDefault="008534F9" w:rsidP="008534F9">
            <w:pPr>
              <w:pStyle w:val="24"/>
              <w:ind w:firstLine="688"/>
              <w:jc w:val="both"/>
              <w:rPr>
                <w:i/>
                <w:sz w:val="24"/>
                <w:szCs w:val="24"/>
                <w:lang w:val="ky-KG"/>
              </w:rPr>
            </w:pPr>
            <w:r w:rsidRPr="00C62B45">
              <w:rPr>
                <w:i/>
                <w:sz w:val="24"/>
                <w:szCs w:val="24"/>
              </w:rPr>
              <w:t xml:space="preserve">Из них: уровень занятости населения равен </w:t>
            </w:r>
            <w:r w:rsidRPr="00C62B45">
              <w:rPr>
                <w:i/>
                <w:sz w:val="24"/>
                <w:szCs w:val="24"/>
                <w:lang w:val="ky-KG"/>
              </w:rPr>
              <w:t>91,7</w:t>
            </w:r>
            <w:r w:rsidRPr="00C62B45">
              <w:rPr>
                <w:i/>
                <w:sz w:val="24"/>
                <w:szCs w:val="24"/>
              </w:rPr>
              <w:t xml:space="preserve"> процента, или </w:t>
            </w:r>
            <w:r w:rsidRPr="00C62B45">
              <w:rPr>
                <w:i/>
                <w:sz w:val="24"/>
                <w:szCs w:val="24"/>
                <w:lang w:val="ky-KG"/>
              </w:rPr>
              <w:t>398,5</w:t>
            </w:r>
            <w:r w:rsidRPr="00C62B45">
              <w:rPr>
                <w:i/>
                <w:sz w:val="24"/>
                <w:szCs w:val="24"/>
              </w:rPr>
              <w:t xml:space="preserve"> тыс. человек, что на </w:t>
            </w:r>
            <w:r w:rsidRPr="00C62B45">
              <w:rPr>
                <w:i/>
                <w:sz w:val="24"/>
                <w:szCs w:val="24"/>
                <w:lang w:val="ky-KG"/>
              </w:rPr>
              <w:t>6,6</w:t>
            </w:r>
            <w:r w:rsidRPr="00C62B45">
              <w:rPr>
                <w:i/>
                <w:sz w:val="24"/>
                <w:szCs w:val="24"/>
              </w:rPr>
              <w:t xml:space="preserve"> процент</w:t>
            </w:r>
            <w:r w:rsidRPr="00C62B45">
              <w:rPr>
                <w:i/>
                <w:sz w:val="24"/>
                <w:szCs w:val="24"/>
                <w:lang w:val="ky-KG"/>
              </w:rPr>
              <w:t>а мень</w:t>
            </w:r>
            <w:proofErr w:type="spellStart"/>
            <w:r w:rsidRPr="00C62B45">
              <w:rPr>
                <w:i/>
                <w:sz w:val="24"/>
                <w:szCs w:val="24"/>
              </w:rPr>
              <w:t>ше</w:t>
            </w:r>
            <w:proofErr w:type="spellEnd"/>
            <w:r w:rsidRPr="00C62B45">
              <w:rPr>
                <w:i/>
                <w:sz w:val="24"/>
                <w:szCs w:val="24"/>
              </w:rPr>
              <w:t xml:space="preserve"> данных 20</w:t>
            </w:r>
            <w:r w:rsidRPr="00C62B45">
              <w:rPr>
                <w:i/>
                <w:sz w:val="24"/>
                <w:szCs w:val="24"/>
                <w:lang w:val="ky-KG"/>
              </w:rPr>
              <w:t>22</w:t>
            </w:r>
            <w:r w:rsidRPr="00C62B45">
              <w:rPr>
                <w:i/>
                <w:sz w:val="24"/>
                <w:szCs w:val="24"/>
              </w:rPr>
              <w:t>г. (</w:t>
            </w:r>
            <w:r w:rsidRPr="00C62B45">
              <w:rPr>
                <w:i/>
                <w:sz w:val="24"/>
                <w:szCs w:val="24"/>
                <w:lang w:val="ky-KG"/>
              </w:rPr>
              <w:t xml:space="preserve">или </w:t>
            </w:r>
            <w:r w:rsidRPr="00C62B45">
              <w:rPr>
                <w:i/>
                <w:sz w:val="24"/>
                <w:szCs w:val="24"/>
              </w:rPr>
              <w:t xml:space="preserve">на </w:t>
            </w:r>
            <w:r w:rsidRPr="00C62B45">
              <w:rPr>
                <w:i/>
                <w:sz w:val="24"/>
                <w:szCs w:val="24"/>
                <w:lang w:val="ky-KG"/>
              </w:rPr>
              <w:t>28,5</w:t>
            </w:r>
            <w:r w:rsidRPr="00C62B45">
              <w:rPr>
                <w:i/>
                <w:sz w:val="24"/>
                <w:szCs w:val="24"/>
              </w:rPr>
              <w:t xml:space="preserve"> тыс. человек </w:t>
            </w:r>
            <w:r w:rsidRPr="00C62B45">
              <w:rPr>
                <w:i/>
                <w:sz w:val="24"/>
                <w:szCs w:val="24"/>
                <w:lang w:val="ky-KG"/>
              </w:rPr>
              <w:t>меньше</w:t>
            </w:r>
            <w:r w:rsidRPr="00C62B45">
              <w:rPr>
                <w:i/>
                <w:sz w:val="24"/>
                <w:szCs w:val="24"/>
              </w:rPr>
              <w:t>)</w:t>
            </w:r>
            <w:r w:rsidRPr="00C62B45">
              <w:rPr>
                <w:i/>
                <w:sz w:val="24"/>
                <w:szCs w:val="24"/>
                <w:lang w:val="ky-KG"/>
              </w:rPr>
              <w:t xml:space="preserve"> и на 4,4 процента больше, по сравнению с 2020г.</w:t>
            </w:r>
          </w:p>
        </w:tc>
      </w:tr>
      <w:tr w:rsidR="008534F9" w:rsidRPr="00022843" w14:paraId="2F8D699F" w14:textId="77777777" w:rsidTr="00372228">
        <w:tc>
          <w:tcPr>
            <w:tcW w:w="4546" w:type="dxa"/>
            <w:gridSpan w:val="6"/>
          </w:tcPr>
          <w:p w14:paraId="0E37F6D8" w14:textId="20854F79" w:rsidR="008534F9" w:rsidRPr="00C62B45" w:rsidRDefault="008534F9" w:rsidP="008534F9">
            <w:pPr>
              <w:jc w:val="both"/>
              <w:rPr>
                <w:sz w:val="24"/>
                <w:lang w:val="ky-KG"/>
              </w:rPr>
            </w:pPr>
            <w:r w:rsidRPr="00C62B45">
              <w:rPr>
                <w:b/>
                <w:sz w:val="24"/>
                <w:lang w:val="ky-KG"/>
              </w:rPr>
              <w:t xml:space="preserve">          Эмгек рыногу. </w:t>
            </w:r>
            <w:r w:rsidRPr="00C62B45">
              <w:rPr>
                <w:rFonts w:ascii="Times New Roman UniToktom" w:hAnsi="Times New Roman UniToktom" w:cs="Times New Roman UniToktom"/>
                <w:sz w:val="24"/>
                <w:szCs w:val="24"/>
                <w:lang w:val="ky-KG"/>
              </w:rPr>
              <w:t>Жалал-Абад райондор аралык эмгек жана социалдык өнүгүү башкармалыгынын маалыматтары боюнча, 2024 - жылдын   январь айынын башына карата жумуш издеп, мамлекеттик иш менен камсыз кылуу органдарында катталган жумушсуз калктын саны 18377 адамды түзүп, өткөн жылдын тийиштүү мезгилине салыштырмалуу 28,6 пайызга, же 7367 адамга азайган.</w:t>
            </w:r>
          </w:p>
        </w:tc>
        <w:tc>
          <w:tcPr>
            <w:tcW w:w="5308" w:type="dxa"/>
            <w:gridSpan w:val="5"/>
          </w:tcPr>
          <w:p w14:paraId="14056F59" w14:textId="04F8DD34" w:rsidR="008534F9" w:rsidRPr="00C62B45" w:rsidRDefault="008534F9" w:rsidP="008534F9">
            <w:pPr>
              <w:ind w:firstLine="708"/>
              <w:jc w:val="both"/>
              <w:rPr>
                <w:i/>
                <w:sz w:val="24"/>
              </w:rPr>
            </w:pPr>
            <w:r w:rsidRPr="00C62B45">
              <w:rPr>
                <w:b/>
                <w:i/>
                <w:sz w:val="24"/>
              </w:rPr>
              <w:t xml:space="preserve">Рынок труда. </w:t>
            </w:r>
            <w:r w:rsidRPr="00C62B45">
              <w:rPr>
                <w:i/>
                <w:sz w:val="24"/>
                <w:lang w:val="ky-KG"/>
              </w:rPr>
              <w:t>П</w:t>
            </w:r>
            <w:r w:rsidRPr="00C62B45">
              <w:rPr>
                <w:i/>
                <w:sz w:val="24"/>
              </w:rPr>
              <w:t xml:space="preserve">о данным </w:t>
            </w:r>
            <w:r w:rsidRPr="00C62B45">
              <w:rPr>
                <w:i/>
                <w:sz w:val="24"/>
                <w:lang w:val="ky-KG"/>
              </w:rPr>
              <w:t>Джалал-Абадс</w:t>
            </w:r>
            <w:r w:rsidRPr="00C62B45">
              <w:rPr>
                <w:i/>
                <w:sz w:val="24"/>
              </w:rPr>
              <w:t xml:space="preserve">кого </w:t>
            </w:r>
            <w:r w:rsidRPr="00C62B45">
              <w:rPr>
                <w:i/>
                <w:sz w:val="24"/>
                <w:lang w:val="ky-KG"/>
              </w:rPr>
              <w:t>межрайонного управления труда и социального развития ч</w:t>
            </w:r>
            <w:proofErr w:type="spellStart"/>
            <w:r w:rsidRPr="00C62B45">
              <w:rPr>
                <w:i/>
                <w:sz w:val="24"/>
              </w:rPr>
              <w:t>исленность</w:t>
            </w:r>
            <w:proofErr w:type="spellEnd"/>
            <w:r w:rsidRPr="00C62B45">
              <w:rPr>
                <w:i/>
                <w:sz w:val="24"/>
              </w:rPr>
              <w:t xml:space="preserve"> незанятого населения, состоящих на учете в службах занятости в поисках работы</w:t>
            </w:r>
            <w:r w:rsidRPr="00C62B45">
              <w:rPr>
                <w:i/>
                <w:sz w:val="24"/>
                <w:lang w:val="ky-KG"/>
              </w:rPr>
              <w:t xml:space="preserve"> по состоянию на 1 января </w:t>
            </w:r>
            <w:r w:rsidRPr="00C62B45">
              <w:rPr>
                <w:i/>
                <w:sz w:val="24"/>
              </w:rPr>
              <w:t>20</w:t>
            </w:r>
            <w:r w:rsidRPr="00C62B45">
              <w:rPr>
                <w:i/>
                <w:sz w:val="24"/>
                <w:lang w:val="ky-KG"/>
              </w:rPr>
              <w:t>24</w:t>
            </w:r>
            <w:r w:rsidRPr="00C62B45">
              <w:rPr>
                <w:i/>
                <w:sz w:val="24"/>
              </w:rPr>
              <w:t xml:space="preserve"> года составила 18377 человек, </w:t>
            </w:r>
            <w:r w:rsidRPr="00C62B45">
              <w:rPr>
                <w:i/>
                <w:sz w:val="24"/>
                <w:lang w:val="ky-KG"/>
              </w:rPr>
              <w:t>и</w:t>
            </w:r>
            <w:r w:rsidRPr="00C62B45">
              <w:rPr>
                <w:i/>
                <w:sz w:val="24"/>
              </w:rPr>
              <w:t xml:space="preserve"> по сравнению с данными за </w:t>
            </w:r>
            <w:proofErr w:type="spellStart"/>
            <w:r w:rsidRPr="00C62B45">
              <w:rPr>
                <w:i/>
                <w:sz w:val="24"/>
              </w:rPr>
              <w:t>соотвествующий</w:t>
            </w:r>
            <w:proofErr w:type="spellEnd"/>
            <w:r w:rsidRPr="00C62B45">
              <w:rPr>
                <w:i/>
                <w:sz w:val="24"/>
              </w:rPr>
              <w:t xml:space="preserve"> период прошлого года </w:t>
            </w:r>
            <w:r w:rsidRPr="00C62B45">
              <w:rPr>
                <w:i/>
                <w:sz w:val="24"/>
                <w:lang w:val="ky-KG"/>
              </w:rPr>
              <w:t xml:space="preserve">уменшилась на 28,6 </w:t>
            </w:r>
            <w:r w:rsidRPr="00C62B45">
              <w:rPr>
                <w:i/>
                <w:sz w:val="24"/>
              </w:rPr>
              <w:t>процента</w:t>
            </w:r>
            <w:r w:rsidRPr="00C62B45">
              <w:rPr>
                <w:i/>
                <w:sz w:val="24"/>
                <w:lang w:val="ky-KG"/>
              </w:rPr>
              <w:t>, или на 7367 человек.</w:t>
            </w:r>
          </w:p>
        </w:tc>
      </w:tr>
      <w:tr w:rsidR="00C44EE6" w:rsidRPr="00C44EE6" w14:paraId="1B085652" w14:textId="77777777" w:rsidTr="00372228">
        <w:tc>
          <w:tcPr>
            <w:tcW w:w="4546" w:type="dxa"/>
            <w:gridSpan w:val="6"/>
          </w:tcPr>
          <w:p w14:paraId="5F19CCC1" w14:textId="718D5239" w:rsidR="008534F9" w:rsidRPr="00C44EE6" w:rsidRDefault="008534F9" w:rsidP="008534F9">
            <w:pPr>
              <w:pStyle w:val="24"/>
              <w:ind w:firstLine="720"/>
              <w:jc w:val="both"/>
              <w:rPr>
                <w:rFonts w:ascii="Times New Roman UniToktom" w:hAnsi="Times New Roman UniToktom" w:cs="Times New Roman UniToktom"/>
                <w:sz w:val="24"/>
                <w:szCs w:val="24"/>
                <w:lang w:val="ky-KG"/>
              </w:rPr>
            </w:pPr>
            <w:r w:rsidRPr="00C44EE6">
              <w:rPr>
                <w:rFonts w:ascii="Times New Roman UniToktom" w:hAnsi="Times New Roman UniToktom" w:cs="Times New Roman UniToktom"/>
                <w:sz w:val="24"/>
                <w:szCs w:val="24"/>
                <w:lang w:val="ky-KG"/>
              </w:rPr>
              <w:t>Ал эми 2024-жылдын жумушсуздук статусун алгандардын саны 12384 адам болуп, жалпы жумуш издеп катталган жумушсуз калктын 67,3 пайызын түзүп, 2023-жылдын ушул мезгилине салыштырмалуу 51,8 пайызга азайган.</w:t>
            </w:r>
          </w:p>
        </w:tc>
        <w:tc>
          <w:tcPr>
            <w:tcW w:w="5308" w:type="dxa"/>
            <w:gridSpan w:val="5"/>
          </w:tcPr>
          <w:p w14:paraId="7BD0F9B4" w14:textId="0427F7CC" w:rsidR="008534F9" w:rsidRPr="00C44EE6" w:rsidRDefault="008534F9" w:rsidP="008534F9">
            <w:pPr>
              <w:pStyle w:val="24"/>
              <w:jc w:val="both"/>
              <w:rPr>
                <w:i/>
                <w:sz w:val="24"/>
                <w:lang w:val="ky-KG"/>
              </w:rPr>
            </w:pPr>
            <w:r w:rsidRPr="00C44EE6">
              <w:rPr>
                <w:i/>
                <w:sz w:val="24"/>
              </w:rPr>
              <w:t>Официальный статус безработного</w:t>
            </w:r>
            <w:r w:rsidRPr="00C44EE6">
              <w:rPr>
                <w:i/>
                <w:sz w:val="24"/>
                <w:lang w:val="ky-KG"/>
              </w:rPr>
              <w:t xml:space="preserve"> за 2024 год</w:t>
            </w:r>
            <w:r w:rsidRPr="00C44EE6">
              <w:rPr>
                <w:i/>
                <w:sz w:val="24"/>
              </w:rPr>
              <w:t xml:space="preserve"> </w:t>
            </w:r>
            <w:proofErr w:type="spellStart"/>
            <w:r w:rsidRPr="00C44EE6">
              <w:rPr>
                <w:i/>
                <w:sz w:val="24"/>
              </w:rPr>
              <w:t>име</w:t>
            </w:r>
            <w:proofErr w:type="spellEnd"/>
            <w:r w:rsidRPr="00C44EE6">
              <w:rPr>
                <w:i/>
                <w:sz w:val="24"/>
                <w:lang w:val="ky-KG"/>
              </w:rPr>
              <w:t xml:space="preserve">ли 12384 </w:t>
            </w:r>
            <w:r w:rsidRPr="00C44EE6">
              <w:rPr>
                <w:i/>
                <w:sz w:val="24"/>
              </w:rPr>
              <w:t>человек</w:t>
            </w:r>
            <w:r w:rsidRPr="00C44EE6">
              <w:rPr>
                <w:i/>
                <w:sz w:val="24"/>
                <w:lang w:val="ky-KG"/>
              </w:rPr>
              <w:t>а</w:t>
            </w:r>
            <w:r w:rsidRPr="00C44EE6">
              <w:rPr>
                <w:i/>
                <w:sz w:val="24"/>
              </w:rPr>
              <w:t xml:space="preserve"> (67,3</w:t>
            </w:r>
            <w:r w:rsidRPr="00C44EE6">
              <w:rPr>
                <w:i/>
                <w:sz w:val="24"/>
                <w:lang w:val="ky-KG"/>
              </w:rPr>
              <w:t xml:space="preserve"> </w:t>
            </w:r>
            <w:r w:rsidRPr="00C44EE6">
              <w:rPr>
                <w:i/>
                <w:sz w:val="24"/>
              </w:rPr>
              <w:t xml:space="preserve">процента от общего числа незанятых граждан), </w:t>
            </w:r>
            <w:r w:rsidRPr="00C44EE6">
              <w:rPr>
                <w:i/>
                <w:sz w:val="24"/>
                <w:lang w:val="ky-KG"/>
              </w:rPr>
              <w:t xml:space="preserve">что </w:t>
            </w:r>
            <w:r w:rsidRPr="00C44EE6">
              <w:rPr>
                <w:i/>
                <w:sz w:val="24"/>
              </w:rPr>
              <w:t>по сравнению с этим же периодом прошлого года</w:t>
            </w:r>
            <w:r w:rsidRPr="00C44EE6">
              <w:rPr>
                <w:i/>
                <w:sz w:val="24"/>
                <w:lang w:val="ky-KG"/>
              </w:rPr>
              <w:t xml:space="preserve"> численность уменьшилась на 51,8 процента</w:t>
            </w:r>
            <w:r w:rsidRPr="00C44EE6">
              <w:rPr>
                <w:i/>
                <w:sz w:val="24"/>
              </w:rPr>
              <w:t>.</w:t>
            </w:r>
          </w:p>
        </w:tc>
      </w:tr>
      <w:tr w:rsidR="00C44EE6" w:rsidRPr="00C44EE6" w14:paraId="409C65F4" w14:textId="77777777" w:rsidTr="00372228">
        <w:trPr>
          <w:gridAfter w:val="1"/>
          <w:wAfter w:w="73" w:type="dxa"/>
        </w:trPr>
        <w:tc>
          <w:tcPr>
            <w:tcW w:w="4536" w:type="dxa"/>
            <w:gridSpan w:val="5"/>
          </w:tcPr>
          <w:p w14:paraId="24B47978" w14:textId="77777777" w:rsidR="00B42BBC" w:rsidRPr="00C44EE6" w:rsidRDefault="00B42BBC" w:rsidP="00B42BBC">
            <w:pPr>
              <w:pStyle w:val="24"/>
              <w:ind w:firstLine="459"/>
              <w:rPr>
                <w:rFonts w:ascii="Times New Roman UniToktom" w:hAnsi="Times New Roman UniToktom" w:cs="Times New Roman UniToktom"/>
                <w:b/>
                <w:sz w:val="24"/>
                <w:szCs w:val="24"/>
                <w:lang w:val="ky-KG"/>
              </w:rPr>
            </w:pPr>
          </w:p>
          <w:p w14:paraId="33667584" w14:textId="3AA4C603" w:rsidR="00B42BBC" w:rsidRPr="00C44EE6" w:rsidRDefault="00B42BBC" w:rsidP="00B42BBC">
            <w:pPr>
              <w:pStyle w:val="24"/>
              <w:ind w:firstLine="459"/>
              <w:jc w:val="both"/>
              <w:rPr>
                <w:rFonts w:ascii="Times New Roman UniToktom" w:hAnsi="Times New Roman UniToktom" w:cs="Times New Roman UniToktom"/>
                <w:b/>
                <w:lang w:val="ky-KG"/>
              </w:rPr>
            </w:pPr>
            <w:r w:rsidRPr="00C44EE6">
              <w:rPr>
                <w:rFonts w:ascii="Times New Roman UniToktom" w:hAnsi="Times New Roman UniToktom" w:cs="Times New Roman UniToktom"/>
                <w:b/>
                <w:sz w:val="24"/>
                <w:szCs w:val="24"/>
                <w:lang w:val="ky-KG"/>
              </w:rPr>
              <w:t xml:space="preserve">2024-жылдын 1-январына карата райондор аралык эмгек жана социалдык өнүгүү башкармалыгынын жумушсуздук статусун алгандардын саны.              </w:t>
            </w:r>
            <w:r w:rsidRPr="00C44EE6">
              <w:rPr>
                <w:rFonts w:ascii="Times New Roman UniToktom" w:hAnsi="Times New Roman UniToktom" w:cs="Times New Roman UniToktom"/>
                <w:lang w:val="ky-KG"/>
              </w:rPr>
              <w:t>(адам)</w:t>
            </w:r>
          </w:p>
        </w:tc>
        <w:tc>
          <w:tcPr>
            <w:tcW w:w="5245" w:type="dxa"/>
            <w:gridSpan w:val="5"/>
          </w:tcPr>
          <w:p w14:paraId="5442097A" w14:textId="77777777" w:rsidR="00B42BBC" w:rsidRPr="00C44EE6" w:rsidRDefault="00B42BBC" w:rsidP="00B42BBC">
            <w:pPr>
              <w:pStyle w:val="a8"/>
              <w:spacing w:after="0"/>
              <w:ind w:left="0" w:firstLine="459"/>
              <w:rPr>
                <w:b/>
                <w:i/>
                <w:sz w:val="24"/>
                <w:szCs w:val="24"/>
                <w:lang w:val="ky-KG"/>
              </w:rPr>
            </w:pPr>
          </w:p>
          <w:p w14:paraId="04726BCF" w14:textId="77777777" w:rsidR="00B42BBC" w:rsidRPr="00C44EE6" w:rsidRDefault="00B42BBC" w:rsidP="00B42BBC">
            <w:pPr>
              <w:pStyle w:val="a8"/>
              <w:spacing w:after="0"/>
              <w:ind w:left="0" w:firstLine="459"/>
              <w:rPr>
                <w:b/>
                <w:i/>
                <w:sz w:val="24"/>
                <w:szCs w:val="24"/>
                <w:lang w:val="ky-KG"/>
              </w:rPr>
            </w:pPr>
            <w:r w:rsidRPr="00C44EE6">
              <w:rPr>
                <w:b/>
                <w:i/>
                <w:sz w:val="24"/>
                <w:szCs w:val="24"/>
              </w:rPr>
              <w:t>Численности официально зарегистрированных безработных</w:t>
            </w:r>
            <w:r w:rsidRPr="00C44EE6">
              <w:rPr>
                <w:b/>
                <w:i/>
                <w:sz w:val="24"/>
                <w:szCs w:val="24"/>
                <w:lang w:val="ky-KG"/>
              </w:rPr>
              <w:t xml:space="preserve"> </w:t>
            </w:r>
            <w:r w:rsidRPr="00C44EE6">
              <w:rPr>
                <w:b/>
                <w:i/>
                <w:sz w:val="24"/>
                <w:szCs w:val="24"/>
              </w:rPr>
              <w:t xml:space="preserve">в органах управления труда и социального развития в территориальном разрезе </w:t>
            </w:r>
            <w:r w:rsidRPr="00C44EE6">
              <w:rPr>
                <w:b/>
                <w:i/>
                <w:sz w:val="24"/>
                <w:szCs w:val="24"/>
                <w:lang w:val="ky-KG"/>
              </w:rPr>
              <w:t>н</w:t>
            </w:r>
            <w:r w:rsidRPr="00C44EE6">
              <w:rPr>
                <w:b/>
                <w:i/>
                <w:sz w:val="24"/>
                <w:szCs w:val="24"/>
              </w:rPr>
              <w:t xml:space="preserve">а </w:t>
            </w:r>
            <w:r w:rsidRPr="00C44EE6">
              <w:rPr>
                <w:b/>
                <w:i/>
                <w:sz w:val="24"/>
                <w:szCs w:val="24"/>
                <w:lang w:val="ky-KG"/>
              </w:rPr>
              <w:t>1 января 2024</w:t>
            </w:r>
            <w:r w:rsidRPr="00C44EE6">
              <w:rPr>
                <w:b/>
                <w:i/>
                <w:sz w:val="24"/>
                <w:szCs w:val="24"/>
              </w:rPr>
              <w:t>года</w:t>
            </w:r>
            <w:r w:rsidRPr="00C44EE6">
              <w:rPr>
                <w:b/>
                <w:i/>
                <w:sz w:val="24"/>
                <w:szCs w:val="24"/>
                <w:lang w:val="ky-KG"/>
              </w:rPr>
              <w:t xml:space="preserve">.  </w:t>
            </w:r>
          </w:p>
          <w:p w14:paraId="3DE62168" w14:textId="349E998D" w:rsidR="00B42BBC" w:rsidRPr="00C44EE6" w:rsidRDefault="00B42BBC" w:rsidP="00B42BBC">
            <w:pPr>
              <w:pStyle w:val="a8"/>
              <w:spacing w:after="0"/>
              <w:ind w:left="0" w:firstLine="459"/>
              <w:jc w:val="both"/>
              <w:rPr>
                <w:b/>
                <w:i/>
                <w:lang w:val="ky-KG"/>
              </w:rPr>
            </w:pPr>
            <w:r w:rsidRPr="00C44EE6">
              <w:rPr>
                <w:b/>
                <w:i/>
                <w:sz w:val="24"/>
                <w:szCs w:val="24"/>
                <w:lang w:val="ky-KG"/>
              </w:rPr>
              <w:t xml:space="preserve">                                      </w:t>
            </w:r>
            <w:r w:rsidRPr="00C44EE6">
              <w:rPr>
                <w:i/>
              </w:rPr>
              <w:t>(человек)</w:t>
            </w:r>
          </w:p>
        </w:tc>
      </w:tr>
      <w:tr w:rsidR="00C44EE6" w:rsidRPr="00C44EE6" w14:paraId="4E34D1DD" w14:textId="77777777" w:rsidTr="0037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73" w:type="dxa"/>
          <w:trHeight w:val="634"/>
        </w:trPr>
        <w:tc>
          <w:tcPr>
            <w:tcW w:w="927" w:type="dxa"/>
            <w:vMerge w:val="restart"/>
            <w:tcBorders>
              <w:top w:val="single" w:sz="12" w:space="0" w:color="auto"/>
              <w:left w:val="nil"/>
              <w:right w:val="nil"/>
            </w:tcBorders>
            <w:vAlign w:val="center"/>
          </w:tcPr>
          <w:p w14:paraId="4B000CF1" w14:textId="77777777" w:rsidR="00B42BBC" w:rsidRPr="00C44EE6" w:rsidRDefault="00B42BBC" w:rsidP="00B42BBC">
            <w:pPr>
              <w:pStyle w:val="24"/>
              <w:jc w:val="center"/>
              <w:rPr>
                <w:rFonts w:ascii="Times New Roman UniToktom" w:hAnsi="Times New Roman UniToktom" w:cs="Times New Roman UniToktom"/>
                <w:sz w:val="18"/>
                <w:szCs w:val="18"/>
                <w:highlight w:val="yellow"/>
                <w:lang w:val="ky-KG"/>
              </w:rPr>
            </w:pPr>
          </w:p>
        </w:tc>
        <w:tc>
          <w:tcPr>
            <w:tcW w:w="1578" w:type="dxa"/>
            <w:gridSpan w:val="2"/>
            <w:tcBorders>
              <w:top w:val="single" w:sz="12" w:space="0" w:color="auto"/>
              <w:left w:val="nil"/>
              <w:bottom w:val="single" w:sz="12" w:space="0" w:color="auto"/>
              <w:right w:val="nil"/>
            </w:tcBorders>
            <w:vAlign w:val="center"/>
          </w:tcPr>
          <w:p w14:paraId="6B9D4F7E" w14:textId="77777777" w:rsidR="00B42BBC" w:rsidRPr="00C44EE6" w:rsidRDefault="00B42BBC" w:rsidP="00B42BBC">
            <w:pPr>
              <w:pStyle w:val="24"/>
              <w:jc w:val="center"/>
              <w:rPr>
                <w:sz w:val="18"/>
                <w:szCs w:val="18"/>
              </w:rPr>
            </w:pPr>
            <w:r w:rsidRPr="00C44EE6">
              <w:rPr>
                <w:sz w:val="18"/>
                <w:szCs w:val="18"/>
                <w:lang w:val="ky-KG"/>
              </w:rPr>
              <w:t>К</w:t>
            </w:r>
            <w:proofErr w:type="spellStart"/>
            <w:r w:rsidRPr="00C44EE6">
              <w:rPr>
                <w:sz w:val="18"/>
                <w:szCs w:val="18"/>
              </w:rPr>
              <w:t>атталган</w:t>
            </w:r>
            <w:proofErr w:type="spellEnd"/>
          </w:p>
          <w:p w14:paraId="0CFF81F3" w14:textId="77777777" w:rsidR="00B42BBC" w:rsidRPr="00C44EE6" w:rsidRDefault="00B42BBC" w:rsidP="00B42BBC">
            <w:pPr>
              <w:pStyle w:val="24"/>
              <w:jc w:val="center"/>
              <w:rPr>
                <w:sz w:val="18"/>
                <w:szCs w:val="18"/>
              </w:rPr>
            </w:pPr>
            <w:r w:rsidRPr="00C44EE6">
              <w:rPr>
                <w:sz w:val="18"/>
                <w:szCs w:val="18"/>
              </w:rPr>
              <w:t xml:space="preserve"> </w:t>
            </w:r>
            <w:proofErr w:type="spellStart"/>
            <w:r w:rsidRPr="00C44EE6">
              <w:rPr>
                <w:sz w:val="18"/>
                <w:szCs w:val="18"/>
              </w:rPr>
              <w:t>жумушсуз</w:t>
            </w:r>
            <w:proofErr w:type="spellEnd"/>
            <w:r w:rsidRPr="00C44EE6">
              <w:rPr>
                <w:sz w:val="18"/>
                <w:szCs w:val="18"/>
                <w:lang w:val="ky-KG"/>
              </w:rPr>
              <w:t xml:space="preserve"> калк</w:t>
            </w:r>
          </w:p>
          <w:p w14:paraId="4128ED6B" w14:textId="77777777" w:rsidR="00B42BBC" w:rsidRPr="00C44EE6" w:rsidRDefault="00B42BBC" w:rsidP="00B42BBC">
            <w:pPr>
              <w:pStyle w:val="24"/>
              <w:jc w:val="center"/>
              <w:rPr>
                <w:i/>
                <w:sz w:val="18"/>
                <w:szCs w:val="18"/>
              </w:rPr>
            </w:pPr>
            <w:r w:rsidRPr="00C44EE6">
              <w:rPr>
                <w:i/>
                <w:sz w:val="18"/>
                <w:szCs w:val="18"/>
              </w:rPr>
              <w:t>Состоит на учете</w:t>
            </w:r>
          </w:p>
          <w:p w14:paraId="15760589" w14:textId="5A28E6CE" w:rsidR="00B42BBC" w:rsidRPr="00C44EE6" w:rsidRDefault="00B42BBC" w:rsidP="00B42BBC">
            <w:pPr>
              <w:pStyle w:val="24"/>
              <w:jc w:val="center"/>
              <w:rPr>
                <w:rFonts w:ascii="Times New Roman UniToktom" w:hAnsi="Times New Roman UniToktom" w:cs="Times New Roman UniToktom"/>
                <w:sz w:val="18"/>
                <w:szCs w:val="18"/>
              </w:rPr>
            </w:pPr>
            <w:r w:rsidRPr="00C44EE6">
              <w:rPr>
                <w:i/>
                <w:sz w:val="18"/>
                <w:szCs w:val="18"/>
              </w:rPr>
              <w:t xml:space="preserve"> безработных</w:t>
            </w:r>
          </w:p>
        </w:tc>
        <w:tc>
          <w:tcPr>
            <w:tcW w:w="1879" w:type="dxa"/>
            <w:vMerge w:val="restart"/>
            <w:tcBorders>
              <w:top w:val="single" w:sz="12" w:space="0" w:color="auto"/>
              <w:left w:val="nil"/>
              <w:right w:val="nil"/>
            </w:tcBorders>
          </w:tcPr>
          <w:p w14:paraId="6BBF0606" w14:textId="77777777" w:rsidR="00B42BBC" w:rsidRPr="00C44EE6" w:rsidRDefault="00B42BBC" w:rsidP="00B42BBC">
            <w:pPr>
              <w:pStyle w:val="24"/>
              <w:jc w:val="center"/>
              <w:rPr>
                <w:sz w:val="18"/>
                <w:szCs w:val="18"/>
                <w:lang w:val="ky-KG"/>
              </w:rPr>
            </w:pPr>
            <w:r w:rsidRPr="00C44EE6">
              <w:rPr>
                <w:sz w:val="18"/>
                <w:szCs w:val="18"/>
                <w:lang w:val="ky-KG"/>
              </w:rPr>
              <w:t>Өткөн</w:t>
            </w:r>
            <w:r w:rsidRPr="00C44EE6">
              <w:rPr>
                <w:sz w:val="18"/>
                <w:szCs w:val="18"/>
              </w:rPr>
              <w:t xml:space="preserve"> </w:t>
            </w:r>
            <w:proofErr w:type="spellStart"/>
            <w:r w:rsidRPr="00C44EE6">
              <w:rPr>
                <w:sz w:val="18"/>
                <w:szCs w:val="18"/>
              </w:rPr>
              <w:t>жылдын</w:t>
            </w:r>
            <w:proofErr w:type="spellEnd"/>
            <w:r w:rsidRPr="00C44EE6">
              <w:rPr>
                <w:sz w:val="18"/>
                <w:szCs w:val="18"/>
              </w:rPr>
              <w:t xml:space="preserve"> </w:t>
            </w:r>
            <w:proofErr w:type="spellStart"/>
            <w:r w:rsidRPr="00C44EE6">
              <w:rPr>
                <w:sz w:val="18"/>
                <w:szCs w:val="18"/>
              </w:rPr>
              <w:t>тиешелүү</w:t>
            </w:r>
            <w:proofErr w:type="spellEnd"/>
            <w:r w:rsidRPr="00C44EE6">
              <w:rPr>
                <w:sz w:val="18"/>
                <w:szCs w:val="18"/>
              </w:rPr>
              <w:t xml:space="preserve"> </w:t>
            </w:r>
            <w:proofErr w:type="spellStart"/>
            <w:r w:rsidRPr="00C44EE6">
              <w:rPr>
                <w:sz w:val="18"/>
                <w:szCs w:val="18"/>
              </w:rPr>
              <w:t>мезгилине</w:t>
            </w:r>
            <w:proofErr w:type="spellEnd"/>
            <w:r w:rsidRPr="00C44EE6">
              <w:rPr>
                <w:sz w:val="18"/>
                <w:szCs w:val="18"/>
              </w:rPr>
              <w:t xml:space="preserve"> карата </w:t>
            </w:r>
            <w:proofErr w:type="spellStart"/>
            <w:r w:rsidRPr="00C44EE6">
              <w:rPr>
                <w:sz w:val="18"/>
                <w:szCs w:val="18"/>
              </w:rPr>
              <w:t>пайыз</w:t>
            </w:r>
            <w:proofErr w:type="spellEnd"/>
            <w:r w:rsidRPr="00C44EE6">
              <w:rPr>
                <w:sz w:val="18"/>
                <w:szCs w:val="18"/>
              </w:rPr>
              <w:t xml:space="preserve"> </w:t>
            </w:r>
            <w:proofErr w:type="spellStart"/>
            <w:r w:rsidRPr="00C44EE6">
              <w:rPr>
                <w:sz w:val="18"/>
                <w:szCs w:val="18"/>
              </w:rPr>
              <w:t>менен</w:t>
            </w:r>
            <w:proofErr w:type="spellEnd"/>
            <w:r w:rsidRPr="00C44EE6">
              <w:rPr>
                <w:sz w:val="18"/>
                <w:szCs w:val="18"/>
                <w:lang w:val="ky-KG"/>
              </w:rPr>
              <w:t>/</w:t>
            </w:r>
          </w:p>
          <w:p w14:paraId="1A57094C" w14:textId="77777777" w:rsidR="00B42BBC" w:rsidRPr="00C44EE6" w:rsidRDefault="00B42BBC" w:rsidP="00B42BBC">
            <w:pPr>
              <w:pStyle w:val="24"/>
              <w:jc w:val="center"/>
              <w:rPr>
                <w:rFonts w:ascii="Times New Roman UniToktom" w:hAnsi="Times New Roman UniToktom" w:cs="Times New Roman UniToktom"/>
                <w:i/>
                <w:sz w:val="18"/>
                <w:szCs w:val="18"/>
                <w:lang w:val="ky-KG"/>
              </w:rPr>
            </w:pPr>
            <w:r w:rsidRPr="00C44EE6">
              <w:rPr>
                <w:i/>
                <w:sz w:val="18"/>
                <w:szCs w:val="18"/>
              </w:rPr>
              <w:t>В процентах к соответствующему периоду предыдущего года</w:t>
            </w:r>
          </w:p>
        </w:tc>
        <w:tc>
          <w:tcPr>
            <w:tcW w:w="1905" w:type="dxa"/>
            <w:gridSpan w:val="4"/>
            <w:vMerge w:val="restart"/>
            <w:tcBorders>
              <w:top w:val="single" w:sz="12" w:space="0" w:color="auto"/>
              <w:left w:val="nil"/>
              <w:right w:val="nil"/>
            </w:tcBorders>
          </w:tcPr>
          <w:p w14:paraId="180C587E" w14:textId="77777777" w:rsidR="00B42BBC" w:rsidRPr="00C44EE6" w:rsidRDefault="00B42BBC" w:rsidP="00B42BBC">
            <w:pPr>
              <w:pStyle w:val="24"/>
              <w:jc w:val="center"/>
              <w:rPr>
                <w:sz w:val="18"/>
                <w:szCs w:val="18"/>
                <w:lang w:val="ky-KG"/>
              </w:rPr>
            </w:pPr>
            <w:r w:rsidRPr="00C44EE6">
              <w:rPr>
                <w:sz w:val="18"/>
                <w:szCs w:val="18"/>
                <w:lang w:val="ky-KG"/>
              </w:rPr>
              <w:t>Анын ичинен: расмий каттоодон өткөн жу-мушсуздар</w:t>
            </w:r>
          </w:p>
          <w:p w14:paraId="2CAB8FE0" w14:textId="77777777" w:rsidR="00B42BBC" w:rsidRPr="00C44EE6" w:rsidRDefault="00B42BBC" w:rsidP="00B42BBC">
            <w:pPr>
              <w:pStyle w:val="24"/>
              <w:jc w:val="center"/>
              <w:rPr>
                <w:i/>
                <w:sz w:val="18"/>
                <w:szCs w:val="18"/>
              </w:rPr>
            </w:pPr>
            <w:r w:rsidRPr="00C44EE6">
              <w:rPr>
                <w:i/>
                <w:sz w:val="18"/>
                <w:szCs w:val="18"/>
              </w:rPr>
              <w:t>в том числе: официально зарегистрированных безработных</w:t>
            </w:r>
          </w:p>
        </w:tc>
        <w:tc>
          <w:tcPr>
            <w:tcW w:w="1370" w:type="dxa"/>
            <w:vMerge w:val="restart"/>
            <w:tcBorders>
              <w:top w:val="single" w:sz="12" w:space="0" w:color="auto"/>
              <w:left w:val="nil"/>
              <w:right w:val="nil"/>
            </w:tcBorders>
            <w:vAlign w:val="center"/>
          </w:tcPr>
          <w:p w14:paraId="4CBB3D65" w14:textId="77777777" w:rsidR="00B42BBC" w:rsidRPr="00C44EE6" w:rsidRDefault="00B42BBC" w:rsidP="00B42BBC">
            <w:pPr>
              <w:pStyle w:val="24"/>
              <w:jc w:val="center"/>
              <w:rPr>
                <w:sz w:val="18"/>
                <w:szCs w:val="18"/>
                <w:lang w:val="ky-KG"/>
              </w:rPr>
            </w:pPr>
            <w:r w:rsidRPr="00C44EE6">
              <w:rPr>
                <w:sz w:val="18"/>
                <w:szCs w:val="18"/>
                <w:lang w:val="ky-KG"/>
              </w:rPr>
              <w:t xml:space="preserve">Анын ичинен аялдар </w:t>
            </w:r>
          </w:p>
          <w:p w14:paraId="462F2E4C" w14:textId="77777777" w:rsidR="00B42BBC" w:rsidRPr="00C44EE6" w:rsidRDefault="00B42BBC" w:rsidP="00B42BBC">
            <w:pPr>
              <w:pStyle w:val="24"/>
              <w:jc w:val="center"/>
              <w:rPr>
                <w:rFonts w:ascii="Times New Roman UniToktom" w:hAnsi="Times New Roman UniToktom" w:cs="Times New Roman UniToktom"/>
                <w:sz w:val="18"/>
                <w:szCs w:val="18"/>
              </w:rPr>
            </w:pPr>
            <w:r w:rsidRPr="00C44EE6">
              <w:rPr>
                <w:i/>
                <w:sz w:val="18"/>
                <w:szCs w:val="18"/>
              </w:rPr>
              <w:t xml:space="preserve">Из </w:t>
            </w:r>
            <w:proofErr w:type="gramStart"/>
            <w:r w:rsidRPr="00C44EE6">
              <w:rPr>
                <w:i/>
                <w:sz w:val="18"/>
                <w:szCs w:val="18"/>
              </w:rPr>
              <w:t>них</w:t>
            </w:r>
            <w:r w:rsidRPr="00C44EE6">
              <w:rPr>
                <w:i/>
                <w:sz w:val="18"/>
                <w:szCs w:val="18"/>
                <w:lang w:val="ky-KG"/>
              </w:rPr>
              <w:t>:ж</w:t>
            </w:r>
            <w:proofErr w:type="spellStart"/>
            <w:r w:rsidRPr="00C44EE6">
              <w:rPr>
                <w:i/>
                <w:sz w:val="18"/>
                <w:szCs w:val="18"/>
              </w:rPr>
              <w:t>енщин</w:t>
            </w:r>
            <w:proofErr w:type="spellEnd"/>
            <w:proofErr w:type="gramEnd"/>
          </w:p>
        </w:tc>
        <w:tc>
          <w:tcPr>
            <w:tcW w:w="2122" w:type="dxa"/>
            <w:vMerge w:val="restart"/>
            <w:tcBorders>
              <w:top w:val="single" w:sz="12" w:space="0" w:color="auto"/>
              <w:left w:val="nil"/>
              <w:right w:val="nil"/>
            </w:tcBorders>
          </w:tcPr>
          <w:p w14:paraId="1B0FF4F3" w14:textId="77777777" w:rsidR="00B42BBC" w:rsidRPr="00C44EE6" w:rsidRDefault="00B42BBC" w:rsidP="00B42BBC">
            <w:pPr>
              <w:pStyle w:val="24"/>
              <w:jc w:val="center"/>
              <w:rPr>
                <w:sz w:val="18"/>
                <w:szCs w:val="18"/>
                <w:highlight w:val="yellow"/>
              </w:rPr>
            </w:pPr>
          </w:p>
        </w:tc>
      </w:tr>
      <w:tr w:rsidR="00C44EE6" w:rsidRPr="00C44EE6" w14:paraId="724DD354" w14:textId="77777777" w:rsidTr="0037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73" w:type="dxa"/>
          <w:trHeight w:val="633"/>
        </w:trPr>
        <w:tc>
          <w:tcPr>
            <w:tcW w:w="927" w:type="dxa"/>
            <w:vMerge/>
            <w:tcBorders>
              <w:left w:val="nil"/>
              <w:bottom w:val="single" w:sz="12" w:space="0" w:color="auto"/>
              <w:right w:val="nil"/>
            </w:tcBorders>
            <w:vAlign w:val="center"/>
          </w:tcPr>
          <w:p w14:paraId="5B63DEFB" w14:textId="77777777" w:rsidR="00B42BBC" w:rsidRPr="00C44EE6" w:rsidRDefault="00B42BBC" w:rsidP="00B42BBC">
            <w:pPr>
              <w:pStyle w:val="24"/>
              <w:jc w:val="center"/>
              <w:rPr>
                <w:rFonts w:ascii="Times New Roman UniToktom" w:hAnsi="Times New Roman UniToktom" w:cs="Times New Roman UniToktom"/>
                <w:sz w:val="18"/>
                <w:szCs w:val="18"/>
                <w:lang w:val="ky-KG"/>
              </w:rPr>
            </w:pPr>
          </w:p>
        </w:tc>
        <w:tc>
          <w:tcPr>
            <w:tcW w:w="789" w:type="dxa"/>
            <w:tcBorders>
              <w:top w:val="single" w:sz="12" w:space="0" w:color="auto"/>
              <w:left w:val="nil"/>
              <w:bottom w:val="single" w:sz="12" w:space="0" w:color="auto"/>
              <w:right w:val="nil"/>
            </w:tcBorders>
            <w:vAlign w:val="center"/>
          </w:tcPr>
          <w:p w14:paraId="216E18E7" w14:textId="0DE42548" w:rsidR="00B42BBC" w:rsidRPr="00C44EE6" w:rsidRDefault="00B42BBC" w:rsidP="00B42BBC">
            <w:pPr>
              <w:pStyle w:val="24"/>
              <w:jc w:val="center"/>
              <w:rPr>
                <w:rFonts w:ascii="Times New Roman UniToktom" w:hAnsi="Times New Roman UniToktom" w:cs="Times New Roman UniToktom"/>
                <w:i/>
                <w:sz w:val="18"/>
                <w:szCs w:val="18"/>
                <w:lang w:val="ky-KG"/>
              </w:rPr>
            </w:pPr>
            <w:r w:rsidRPr="00C44EE6">
              <w:rPr>
                <w:rFonts w:ascii="Times New Roman UniToktom" w:hAnsi="Times New Roman UniToktom" w:cs="Times New Roman UniToktom"/>
                <w:i/>
                <w:sz w:val="18"/>
                <w:szCs w:val="18"/>
                <w:lang w:val="ky-KG"/>
              </w:rPr>
              <w:t>2023-жыл 2023 год</w:t>
            </w:r>
          </w:p>
        </w:tc>
        <w:tc>
          <w:tcPr>
            <w:tcW w:w="789" w:type="dxa"/>
            <w:tcBorders>
              <w:left w:val="nil"/>
              <w:bottom w:val="single" w:sz="12" w:space="0" w:color="auto"/>
              <w:right w:val="nil"/>
            </w:tcBorders>
            <w:vAlign w:val="center"/>
          </w:tcPr>
          <w:p w14:paraId="618B1013" w14:textId="77777777" w:rsidR="00B42BBC" w:rsidRPr="00C44EE6" w:rsidRDefault="00B42BBC" w:rsidP="00B42BBC">
            <w:pPr>
              <w:pStyle w:val="24"/>
              <w:jc w:val="center"/>
              <w:rPr>
                <w:rFonts w:ascii="Times New Roman UniToktom" w:hAnsi="Times New Roman UniToktom" w:cs="Times New Roman UniToktom"/>
                <w:i/>
                <w:sz w:val="18"/>
                <w:szCs w:val="18"/>
                <w:lang w:val="ky-KG"/>
              </w:rPr>
            </w:pPr>
            <w:r w:rsidRPr="00C44EE6">
              <w:rPr>
                <w:rFonts w:ascii="Times New Roman UniToktom" w:hAnsi="Times New Roman UniToktom" w:cs="Times New Roman UniToktom"/>
                <w:sz w:val="18"/>
                <w:szCs w:val="18"/>
              </w:rPr>
              <w:t>20</w:t>
            </w:r>
            <w:r w:rsidRPr="00C44EE6">
              <w:rPr>
                <w:rFonts w:ascii="Times New Roman UniToktom" w:hAnsi="Times New Roman UniToktom" w:cs="Times New Roman UniToktom"/>
                <w:sz w:val="18"/>
                <w:szCs w:val="18"/>
                <w:lang w:val="ky-KG"/>
              </w:rPr>
              <w:t>24</w:t>
            </w:r>
            <w:r w:rsidRPr="00C44EE6">
              <w:rPr>
                <w:rFonts w:ascii="Times New Roman UniToktom" w:hAnsi="Times New Roman UniToktom" w:cs="Times New Roman UniToktom"/>
                <w:sz w:val="18"/>
                <w:szCs w:val="18"/>
              </w:rPr>
              <w:t>-</w:t>
            </w:r>
            <w:proofErr w:type="spellStart"/>
            <w:r w:rsidRPr="00C44EE6">
              <w:rPr>
                <w:rFonts w:ascii="Times New Roman UniToktom" w:hAnsi="Times New Roman UniToktom" w:cs="Times New Roman UniToktom"/>
                <w:sz w:val="18"/>
                <w:szCs w:val="18"/>
              </w:rPr>
              <w:t>жыл</w:t>
            </w:r>
            <w:proofErr w:type="spellEnd"/>
            <w:r w:rsidRPr="00C44EE6">
              <w:rPr>
                <w:rFonts w:ascii="Times New Roman UniToktom" w:hAnsi="Times New Roman UniToktom" w:cs="Times New Roman UniToktom"/>
                <w:sz w:val="18"/>
                <w:szCs w:val="18"/>
              </w:rPr>
              <w:t xml:space="preserve"> </w:t>
            </w:r>
            <w:r w:rsidRPr="00C44EE6">
              <w:rPr>
                <w:rFonts w:ascii="Times New Roman UniToktom" w:hAnsi="Times New Roman UniToktom" w:cs="Times New Roman UniToktom"/>
                <w:i/>
                <w:sz w:val="18"/>
                <w:szCs w:val="18"/>
              </w:rPr>
              <w:t>20</w:t>
            </w:r>
            <w:r w:rsidRPr="00C44EE6">
              <w:rPr>
                <w:rFonts w:ascii="Times New Roman UniToktom" w:hAnsi="Times New Roman UniToktom" w:cs="Times New Roman UniToktom"/>
                <w:i/>
                <w:sz w:val="18"/>
                <w:szCs w:val="18"/>
                <w:lang w:val="ky-KG"/>
              </w:rPr>
              <w:t>24</w:t>
            </w:r>
          </w:p>
          <w:p w14:paraId="75100498" w14:textId="2EF48D62" w:rsidR="00B42BBC" w:rsidRPr="00C44EE6" w:rsidRDefault="00B42BBC" w:rsidP="00B42BBC">
            <w:pPr>
              <w:pStyle w:val="24"/>
              <w:jc w:val="center"/>
              <w:rPr>
                <w:rFonts w:ascii="Times New Roman UniToktom" w:hAnsi="Times New Roman UniToktom" w:cs="Times New Roman UniToktom"/>
                <w:sz w:val="18"/>
                <w:szCs w:val="18"/>
              </w:rPr>
            </w:pPr>
            <w:r w:rsidRPr="00C44EE6">
              <w:rPr>
                <w:rFonts w:ascii="Times New Roman UniToktom" w:hAnsi="Times New Roman UniToktom" w:cs="Times New Roman UniToktom"/>
                <w:i/>
                <w:sz w:val="18"/>
                <w:szCs w:val="18"/>
              </w:rPr>
              <w:t>год</w:t>
            </w:r>
          </w:p>
        </w:tc>
        <w:tc>
          <w:tcPr>
            <w:tcW w:w="1879" w:type="dxa"/>
            <w:vMerge/>
            <w:tcBorders>
              <w:left w:val="nil"/>
              <w:bottom w:val="single" w:sz="12" w:space="0" w:color="auto"/>
              <w:right w:val="nil"/>
            </w:tcBorders>
            <w:vAlign w:val="center"/>
          </w:tcPr>
          <w:p w14:paraId="028D4192" w14:textId="77777777" w:rsidR="00B42BBC" w:rsidRPr="00C44EE6" w:rsidRDefault="00B42BBC" w:rsidP="00B42BBC">
            <w:pPr>
              <w:pStyle w:val="24"/>
              <w:jc w:val="center"/>
              <w:rPr>
                <w:rFonts w:ascii="Times New Roman UniToktom" w:hAnsi="Times New Roman UniToktom" w:cs="Times New Roman UniToktom"/>
                <w:sz w:val="18"/>
                <w:szCs w:val="18"/>
                <w:lang w:val="ky-KG"/>
              </w:rPr>
            </w:pPr>
          </w:p>
        </w:tc>
        <w:tc>
          <w:tcPr>
            <w:tcW w:w="1905" w:type="dxa"/>
            <w:gridSpan w:val="4"/>
            <w:vMerge/>
            <w:tcBorders>
              <w:left w:val="nil"/>
              <w:bottom w:val="single" w:sz="12" w:space="0" w:color="auto"/>
              <w:right w:val="nil"/>
            </w:tcBorders>
          </w:tcPr>
          <w:p w14:paraId="00192561" w14:textId="77777777" w:rsidR="00B42BBC" w:rsidRPr="00C44EE6" w:rsidRDefault="00B42BBC" w:rsidP="00B42BBC">
            <w:pPr>
              <w:pStyle w:val="24"/>
              <w:jc w:val="center"/>
              <w:rPr>
                <w:rFonts w:ascii="Times New Roman UniToktom" w:hAnsi="Times New Roman UniToktom" w:cs="Times New Roman UniToktom"/>
                <w:sz w:val="18"/>
                <w:szCs w:val="18"/>
                <w:lang w:val="ky-KG"/>
              </w:rPr>
            </w:pPr>
          </w:p>
        </w:tc>
        <w:tc>
          <w:tcPr>
            <w:tcW w:w="1370" w:type="dxa"/>
            <w:vMerge/>
            <w:tcBorders>
              <w:left w:val="nil"/>
              <w:bottom w:val="single" w:sz="12" w:space="0" w:color="auto"/>
              <w:right w:val="nil"/>
            </w:tcBorders>
            <w:vAlign w:val="center"/>
          </w:tcPr>
          <w:p w14:paraId="5FBBBB94" w14:textId="77777777" w:rsidR="00B42BBC" w:rsidRPr="00C44EE6" w:rsidRDefault="00B42BBC" w:rsidP="00B42BBC">
            <w:pPr>
              <w:pStyle w:val="24"/>
              <w:jc w:val="center"/>
              <w:rPr>
                <w:rFonts w:ascii="Times New Roman UniToktom" w:hAnsi="Times New Roman UniToktom" w:cs="Times New Roman UniToktom"/>
                <w:sz w:val="18"/>
                <w:szCs w:val="18"/>
                <w:lang w:val="ky-KG"/>
              </w:rPr>
            </w:pPr>
          </w:p>
        </w:tc>
        <w:tc>
          <w:tcPr>
            <w:tcW w:w="2122" w:type="dxa"/>
            <w:vMerge/>
            <w:tcBorders>
              <w:left w:val="nil"/>
              <w:bottom w:val="single" w:sz="12" w:space="0" w:color="auto"/>
              <w:right w:val="nil"/>
            </w:tcBorders>
          </w:tcPr>
          <w:p w14:paraId="4017F63A" w14:textId="77777777" w:rsidR="00B42BBC" w:rsidRPr="00C44EE6" w:rsidRDefault="00B42BBC" w:rsidP="00B42BBC">
            <w:pPr>
              <w:pStyle w:val="24"/>
              <w:jc w:val="center"/>
              <w:rPr>
                <w:rFonts w:ascii="Times New Roman UniToktom" w:hAnsi="Times New Roman UniToktom" w:cs="Times New Roman UniToktom"/>
                <w:sz w:val="18"/>
                <w:szCs w:val="18"/>
                <w:lang w:val="ky-KG"/>
              </w:rPr>
            </w:pPr>
          </w:p>
        </w:tc>
      </w:tr>
      <w:tr w:rsidR="00C44EE6" w:rsidRPr="00C44EE6" w14:paraId="7F562143" w14:textId="77777777" w:rsidTr="0037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73" w:type="dxa"/>
        </w:trPr>
        <w:tc>
          <w:tcPr>
            <w:tcW w:w="927" w:type="dxa"/>
            <w:tcBorders>
              <w:top w:val="single" w:sz="12" w:space="0" w:color="auto"/>
              <w:left w:val="nil"/>
              <w:bottom w:val="nil"/>
              <w:right w:val="nil"/>
            </w:tcBorders>
          </w:tcPr>
          <w:p w14:paraId="2EB12990" w14:textId="77777777" w:rsidR="00B42BBC" w:rsidRPr="00C44EE6" w:rsidRDefault="00B42BBC" w:rsidP="00B42BBC">
            <w:pPr>
              <w:jc w:val="both"/>
              <w:rPr>
                <w:b/>
                <w:sz w:val="18"/>
                <w:szCs w:val="18"/>
                <w:lang w:val="en-US"/>
              </w:rPr>
            </w:pPr>
            <w:proofErr w:type="spellStart"/>
            <w:r w:rsidRPr="00C44EE6">
              <w:rPr>
                <w:b/>
                <w:sz w:val="18"/>
                <w:szCs w:val="18"/>
              </w:rPr>
              <w:t>Жалал</w:t>
            </w:r>
            <w:proofErr w:type="spellEnd"/>
            <w:r w:rsidRPr="00C44EE6">
              <w:rPr>
                <w:b/>
                <w:sz w:val="18"/>
                <w:szCs w:val="18"/>
              </w:rPr>
              <w:t xml:space="preserve">-Абад </w:t>
            </w:r>
            <w:proofErr w:type="spellStart"/>
            <w:r w:rsidRPr="00C44EE6">
              <w:rPr>
                <w:b/>
                <w:sz w:val="18"/>
                <w:szCs w:val="18"/>
              </w:rPr>
              <w:t>облусу</w:t>
            </w:r>
            <w:proofErr w:type="spellEnd"/>
          </w:p>
        </w:tc>
        <w:tc>
          <w:tcPr>
            <w:tcW w:w="789" w:type="dxa"/>
            <w:tcBorders>
              <w:top w:val="single" w:sz="12" w:space="0" w:color="auto"/>
              <w:left w:val="nil"/>
              <w:bottom w:val="nil"/>
              <w:right w:val="nil"/>
            </w:tcBorders>
            <w:vAlign w:val="bottom"/>
          </w:tcPr>
          <w:p w14:paraId="5D945074" w14:textId="0B7165FC" w:rsidR="00B42BBC" w:rsidRPr="00C44EE6" w:rsidRDefault="00B42BBC" w:rsidP="00B42BBC">
            <w:pPr>
              <w:pStyle w:val="24"/>
              <w:jc w:val="right"/>
              <w:rPr>
                <w:rFonts w:ascii="Times New Roman UniToktom" w:hAnsi="Times New Roman UniToktom" w:cs="Times New Roman UniToktom"/>
                <w:b/>
                <w:sz w:val="18"/>
                <w:szCs w:val="18"/>
                <w:lang w:val="ky-KG"/>
              </w:rPr>
            </w:pPr>
            <w:r w:rsidRPr="00C44EE6">
              <w:rPr>
                <w:rFonts w:ascii="Times New Roman UniToktom" w:hAnsi="Times New Roman UniToktom" w:cs="Times New Roman UniToktom"/>
                <w:b/>
                <w:sz w:val="18"/>
                <w:szCs w:val="18"/>
                <w:lang w:val="ky-KG"/>
              </w:rPr>
              <w:t>25744</w:t>
            </w:r>
          </w:p>
        </w:tc>
        <w:tc>
          <w:tcPr>
            <w:tcW w:w="789" w:type="dxa"/>
            <w:tcBorders>
              <w:top w:val="single" w:sz="12" w:space="0" w:color="auto"/>
              <w:left w:val="nil"/>
              <w:bottom w:val="nil"/>
              <w:right w:val="nil"/>
            </w:tcBorders>
            <w:vAlign w:val="bottom"/>
          </w:tcPr>
          <w:p w14:paraId="1DDF557F" w14:textId="18622973" w:rsidR="00B42BBC" w:rsidRPr="00C44EE6" w:rsidRDefault="00B42BBC" w:rsidP="00B42BBC">
            <w:pPr>
              <w:pStyle w:val="24"/>
              <w:jc w:val="right"/>
              <w:rPr>
                <w:rFonts w:ascii="Times New Roman UniToktom" w:hAnsi="Times New Roman UniToktom" w:cs="Times New Roman UniToktom"/>
                <w:b/>
                <w:sz w:val="18"/>
                <w:szCs w:val="18"/>
                <w:lang w:val="ky-KG"/>
              </w:rPr>
            </w:pPr>
            <w:r w:rsidRPr="00C44EE6">
              <w:rPr>
                <w:rFonts w:ascii="Times New Roman UniToktom" w:hAnsi="Times New Roman UniToktom" w:cs="Times New Roman UniToktom"/>
                <w:b/>
                <w:sz w:val="18"/>
                <w:szCs w:val="18"/>
                <w:lang w:val="ky-KG"/>
              </w:rPr>
              <w:t>18377</w:t>
            </w:r>
          </w:p>
        </w:tc>
        <w:tc>
          <w:tcPr>
            <w:tcW w:w="1879" w:type="dxa"/>
            <w:tcBorders>
              <w:top w:val="single" w:sz="12" w:space="0" w:color="auto"/>
              <w:left w:val="nil"/>
              <w:bottom w:val="nil"/>
              <w:right w:val="nil"/>
            </w:tcBorders>
            <w:vAlign w:val="bottom"/>
          </w:tcPr>
          <w:p w14:paraId="1BDFBD6F" w14:textId="08DCDD66" w:rsidR="00B42BBC" w:rsidRPr="00C44EE6" w:rsidRDefault="00B42BBC" w:rsidP="00B42BBC">
            <w:pPr>
              <w:pStyle w:val="24"/>
              <w:jc w:val="right"/>
              <w:rPr>
                <w:rFonts w:ascii="Times New Roman UniToktom" w:hAnsi="Times New Roman UniToktom" w:cs="Times New Roman UniToktom"/>
                <w:b/>
                <w:sz w:val="18"/>
                <w:szCs w:val="18"/>
                <w:lang w:val="ky-KG"/>
              </w:rPr>
            </w:pPr>
            <w:r w:rsidRPr="00C44EE6">
              <w:rPr>
                <w:rFonts w:ascii="Times New Roman UniToktom" w:hAnsi="Times New Roman UniToktom" w:cs="Times New Roman UniToktom"/>
                <w:b/>
                <w:sz w:val="18"/>
                <w:szCs w:val="18"/>
                <w:lang w:val="ky-KG"/>
              </w:rPr>
              <w:t>71,3</w:t>
            </w:r>
          </w:p>
        </w:tc>
        <w:tc>
          <w:tcPr>
            <w:tcW w:w="1905" w:type="dxa"/>
            <w:gridSpan w:val="4"/>
            <w:tcBorders>
              <w:top w:val="single" w:sz="12" w:space="0" w:color="auto"/>
              <w:left w:val="nil"/>
              <w:bottom w:val="nil"/>
              <w:right w:val="nil"/>
            </w:tcBorders>
            <w:vAlign w:val="bottom"/>
          </w:tcPr>
          <w:p w14:paraId="71730C0F" w14:textId="1C264383" w:rsidR="00B42BBC" w:rsidRPr="00C44EE6" w:rsidRDefault="00B42BBC" w:rsidP="00B42BBC">
            <w:pPr>
              <w:pStyle w:val="24"/>
              <w:jc w:val="right"/>
              <w:rPr>
                <w:rFonts w:ascii="Times New Roman UniToktom" w:hAnsi="Times New Roman UniToktom" w:cs="Times New Roman UniToktom"/>
                <w:b/>
                <w:sz w:val="18"/>
                <w:szCs w:val="18"/>
                <w:lang w:val="ky-KG"/>
              </w:rPr>
            </w:pPr>
            <w:r w:rsidRPr="00C44EE6">
              <w:rPr>
                <w:rFonts w:ascii="Times New Roman UniToktom" w:hAnsi="Times New Roman UniToktom" w:cs="Times New Roman UniToktom"/>
                <w:b/>
                <w:sz w:val="18"/>
                <w:szCs w:val="18"/>
                <w:lang w:val="ky-KG"/>
              </w:rPr>
              <w:t>12384</w:t>
            </w:r>
          </w:p>
        </w:tc>
        <w:tc>
          <w:tcPr>
            <w:tcW w:w="1370" w:type="dxa"/>
            <w:tcBorders>
              <w:top w:val="single" w:sz="12" w:space="0" w:color="auto"/>
              <w:left w:val="nil"/>
              <w:bottom w:val="nil"/>
              <w:right w:val="nil"/>
            </w:tcBorders>
            <w:vAlign w:val="bottom"/>
          </w:tcPr>
          <w:p w14:paraId="65A29940" w14:textId="02F8A793" w:rsidR="00B42BBC" w:rsidRPr="00C44EE6" w:rsidRDefault="00B42BBC" w:rsidP="00B42BBC">
            <w:pPr>
              <w:pStyle w:val="24"/>
              <w:jc w:val="right"/>
              <w:rPr>
                <w:rFonts w:ascii="Times New Roman UniToktom" w:hAnsi="Times New Roman UniToktom" w:cs="Times New Roman UniToktom"/>
                <w:b/>
                <w:sz w:val="18"/>
                <w:szCs w:val="18"/>
                <w:lang w:val="ky-KG"/>
              </w:rPr>
            </w:pPr>
            <w:r w:rsidRPr="00C44EE6">
              <w:rPr>
                <w:rFonts w:ascii="Times New Roman UniToktom" w:hAnsi="Times New Roman UniToktom" w:cs="Times New Roman UniToktom"/>
                <w:b/>
                <w:sz w:val="18"/>
                <w:szCs w:val="18"/>
                <w:lang w:val="ky-KG"/>
              </w:rPr>
              <w:t>4865</w:t>
            </w:r>
          </w:p>
        </w:tc>
        <w:tc>
          <w:tcPr>
            <w:tcW w:w="2122" w:type="dxa"/>
            <w:tcBorders>
              <w:top w:val="single" w:sz="12" w:space="0" w:color="auto"/>
              <w:left w:val="nil"/>
              <w:bottom w:val="nil"/>
              <w:right w:val="nil"/>
            </w:tcBorders>
          </w:tcPr>
          <w:p w14:paraId="29DE2B8E" w14:textId="77777777" w:rsidR="00B42BBC" w:rsidRPr="00C44EE6" w:rsidRDefault="00B42BBC" w:rsidP="00B42BBC">
            <w:pPr>
              <w:rPr>
                <w:rFonts w:ascii="Times New Roman CYR" w:hAnsi="Times New Roman CYR" w:cs="Times New Roman CYR"/>
                <w:b/>
                <w:bCs/>
                <w:i/>
                <w:sz w:val="18"/>
                <w:szCs w:val="18"/>
                <w:lang w:val="en-US"/>
              </w:rPr>
            </w:pPr>
          </w:p>
          <w:p w14:paraId="4B39B15D" w14:textId="77777777" w:rsidR="00B42BBC" w:rsidRPr="00C44EE6" w:rsidRDefault="00B42BBC" w:rsidP="00B42BBC">
            <w:pPr>
              <w:rPr>
                <w:rFonts w:ascii="Times New Roman CYR" w:hAnsi="Times New Roman CYR" w:cs="Times New Roman CYR"/>
                <w:b/>
                <w:bCs/>
                <w:i/>
                <w:sz w:val="18"/>
                <w:szCs w:val="18"/>
                <w:lang w:val="en-US"/>
              </w:rPr>
            </w:pPr>
            <w:r w:rsidRPr="00C44EE6">
              <w:rPr>
                <w:rFonts w:ascii="Times New Roman CYR" w:hAnsi="Times New Roman CYR" w:cs="Times New Roman CYR"/>
                <w:b/>
                <w:bCs/>
                <w:i/>
                <w:sz w:val="18"/>
                <w:szCs w:val="18"/>
              </w:rPr>
              <w:t>Джалал-Абадская область</w:t>
            </w:r>
          </w:p>
        </w:tc>
      </w:tr>
      <w:tr w:rsidR="00C44EE6" w:rsidRPr="00C44EE6" w14:paraId="676D7657" w14:textId="77777777" w:rsidTr="0037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73" w:type="dxa"/>
        </w:trPr>
        <w:tc>
          <w:tcPr>
            <w:tcW w:w="927" w:type="dxa"/>
            <w:tcBorders>
              <w:top w:val="nil"/>
              <w:left w:val="nil"/>
              <w:bottom w:val="nil"/>
              <w:right w:val="nil"/>
            </w:tcBorders>
            <w:vAlign w:val="bottom"/>
          </w:tcPr>
          <w:p w14:paraId="2646F76F" w14:textId="77777777" w:rsidR="00B42BBC" w:rsidRPr="00C44EE6" w:rsidRDefault="00B42BBC" w:rsidP="00B42BBC">
            <w:pPr>
              <w:rPr>
                <w:sz w:val="18"/>
                <w:szCs w:val="18"/>
              </w:rPr>
            </w:pPr>
            <w:r w:rsidRPr="00C44EE6">
              <w:rPr>
                <w:sz w:val="18"/>
                <w:szCs w:val="18"/>
              </w:rPr>
              <w:t>Аксы району</w:t>
            </w:r>
          </w:p>
        </w:tc>
        <w:tc>
          <w:tcPr>
            <w:tcW w:w="789" w:type="dxa"/>
            <w:tcBorders>
              <w:top w:val="nil"/>
              <w:left w:val="nil"/>
              <w:bottom w:val="nil"/>
              <w:right w:val="nil"/>
            </w:tcBorders>
            <w:vAlign w:val="bottom"/>
          </w:tcPr>
          <w:p w14:paraId="0B8F2CFA" w14:textId="1841619C"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7345</w:t>
            </w:r>
          </w:p>
        </w:tc>
        <w:tc>
          <w:tcPr>
            <w:tcW w:w="789" w:type="dxa"/>
            <w:tcBorders>
              <w:top w:val="nil"/>
              <w:left w:val="nil"/>
              <w:bottom w:val="nil"/>
              <w:right w:val="nil"/>
            </w:tcBorders>
            <w:vAlign w:val="bottom"/>
          </w:tcPr>
          <w:p w14:paraId="0EBD2985" w14:textId="1F4A61C9"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4618</w:t>
            </w:r>
          </w:p>
        </w:tc>
        <w:tc>
          <w:tcPr>
            <w:tcW w:w="1879" w:type="dxa"/>
            <w:tcBorders>
              <w:top w:val="nil"/>
              <w:left w:val="nil"/>
              <w:bottom w:val="nil"/>
              <w:right w:val="nil"/>
            </w:tcBorders>
            <w:vAlign w:val="bottom"/>
          </w:tcPr>
          <w:p w14:paraId="09EE9DB9" w14:textId="03962AC6"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62,8</w:t>
            </w:r>
          </w:p>
        </w:tc>
        <w:tc>
          <w:tcPr>
            <w:tcW w:w="1905" w:type="dxa"/>
            <w:gridSpan w:val="4"/>
            <w:tcBorders>
              <w:top w:val="nil"/>
              <w:left w:val="nil"/>
              <w:bottom w:val="nil"/>
              <w:right w:val="nil"/>
            </w:tcBorders>
            <w:vAlign w:val="bottom"/>
          </w:tcPr>
          <w:p w14:paraId="222583D9" w14:textId="32F39DBC"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4566</w:t>
            </w:r>
          </w:p>
        </w:tc>
        <w:tc>
          <w:tcPr>
            <w:tcW w:w="1370" w:type="dxa"/>
            <w:tcBorders>
              <w:top w:val="nil"/>
              <w:left w:val="nil"/>
              <w:bottom w:val="nil"/>
              <w:right w:val="nil"/>
            </w:tcBorders>
            <w:vAlign w:val="bottom"/>
          </w:tcPr>
          <w:p w14:paraId="143FD3CE" w14:textId="46F70ACA"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1540</w:t>
            </w:r>
          </w:p>
        </w:tc>
        <w:tc>
          <w:tcPr>
            <w:tcW w:w="2122" w:type="dxa"/>
            <w:tcBorders>
              <w:top w:val="nil"/>
              <w:left w:val="nil"/>
              <w:bottom w:val="nil"/>
              <w:right w:val="nil"/>
            </w:tcBorders>
            <w:vAlign w:val="bottom"/>
          </w:tcPr>
          <w:p w14:paraId="6FAD539C" w14:textId="77777777" w:rsidR="00B42BBC" w:rsidRPr="00C44EE6" w:rsidRDefault="00B42BBC" w:rsidP="00B42BBC">
            <w:pPr>
              <w:rPr>
                <w:rFonts w:ascii="Times New Roman CYR" w:hAnsi="Times New Roman CYR" w:cs="Times New Roman CYR"/>
                <w:i/>
                <w:sz w:val="18"/>
                <w:szCs w:val="18"/>
              </w:rPr>
            </w:pPr>
            <w:r w:rsidRPr="00C44EE6">
              <w:rPr>
                <w:rFonts w:ascii="Times New Roman CYR" w:hAnsi="Times New Roman CYR" w:cs="Times New Roman CYR"/>
                <w:i/>
                <w:sz w:val="18"/>
                <w:szCs w:val="18"/>
              </w:rPr>
              <w:t>Аксыйский район</w:t>
            </w:r>
          </w:p>
        </w:tc>
      </w:tr>
      <w:tr w:rsidR="00C44EE6" w:rsidRPr="00C44EE6" w14:paraId="4B0A50D4" w14:textId="77777777" w:rsidTr="0037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73" w:type="dxa"/>
        </w:trPr>
        <w:tc>
          <w:tcPr>
            <w:tcW w:w="927" w:type="dxa"/>
            <w:tcBorders>
              <w:top w:val="nil"/>
              <w:left w:val="nil"/>
              <w:bottom w:val="nil"/>
              <w:right w:val="nil"/>
            </w:tcBorders>
            <w:vAlign w:val="bottom"/>
          </w:tcPr>
          <w:p w14:paraId="6D61CC62" w14:textId="77777777" w:rsidR="00B42BBC" w:rsidRPr="00C44EE6" w:rsidRDefault="00B42BBC" w:rsidP="00B42BBC">
            <w:pPr>
              <w:rPr>
                <w:sz w:val="18"/>
                <w:szCs w:val="18"/>
              </w:rPr>
            </w:pPr>
            <w:r w:rsidRPr="00C44EE6">
              <w:rPr>
                <w:sz w:val="18"/>
                <w:szCs w:val="18"/>
              </w:rPr>
              <w:t>Ала-Бука району</w:t>
            </w:r>
          </w:p>
        </w:tc>
        <w:tc>
          <w:tcPr>
            <w:tcW w:w="789" w:type="dxa"/>
            <w:tcBorders>
              <w:top w:val="nil"/>
              <w:left w:val="nil"/>
              <w:bottom w:val="nil"/>
              <w:right w:val="nil"/>
            </w:tcBorders>
            <w:vAlign w:val="bottom"/>
          </w:tcPr>
          <w:p w14:paraId="5BEAB134" w14:textId="0E65CAE4"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2351</w:t>
            </w:r>
          </w:p>
        </w:tc>
        <w:tc>
          <w:tcPr>
            <w:tcW w:w="789" w:type="dxa"/>
            <w:tcBorders>
              <w:top w:val="nil"/>
              <w:left w:val="nil"/>
              <w:bottom w:val="nil"/>
              <w:right w:val="nil"/>
            </w:tcBorders>
            <w:vAlign w:val="bottom"/>
          </w:tcPr>
          <w:p w14:paraId="559CFD6B" w14:textId="722548B1"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2341</w:t>
            </w:r>
          </w:p>
        </w:tc>
        <w:tc>
          <w:tcPr>
            <w:tcW w:w="1879" w:type="dxa"/>
            <w:tcBorders>
              <w:top w:val="nil"/>
              <w:left w:val="nil"/>
              <w:bottom w:val="nil"/>
              <w:right w:val="nil"/>
            </w:tcBorders>
            <w:vAlign w:val="bottom"/>
          </w:tcPr>
          <w:p w14:paraId="02B2D06F" w14:textId="1B62B387"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99,5</w:t>
            </w:r>
          </w:p>
        </w:tc>
        <w:tc>
          <w:tcPr>
            <w:tcW w:w="1905" w:type="dxa"/>
            <w:gridSpan w:val="4"/>
            <w:tcBorders>
              <w:top w:val="nil"/>
              <w:left w:val="nil"/>
              <w:bottom w:val="nil"/>
              <w:right w:val="nil"/>
            </w:tcBorders>
            <w:vAlign w:val="bottom"/>
          </w:tcPr>
          <w:p w14:paraId="20F2EEA5" w14:textId="348DF405"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2059</w:t>
            </w:r>
          </w:p>
        </w:tc>
        <w:tc>
          <w:tcPr>
            <w:tcW w:w="1370" w:type="dxa"/>
            <w:tcBorders>
              <w:top w:val="nil"/>
              <w:left w:val="nil"/>
              <w:bottom w:val="nil"/>
              <w:right w:val="nil"/>
            </w:tcBorders>
            <w:vAlign w:val="bottom"/>
          </w:tcPr>
          <w:p w14:paraId="22B9EBE3" w14:textId="44D74393"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805</w:t>
            </w:r>
          </w:p>
        </w:tc>
        <w:tc>
          <w:tcPr>
            <w:tcW w:w="2122" w:type="dxa"/>
            <w:tcBorders>
              <w:top w:val="nil"/>
              <w:left w:val="nil"/>
              <w:bottom w:val="nil"/>
              <w:right w:val="nil"/>
            </w:tcBorders>
            <w:vAlign w:val="bottom"/>
          </w:tcPr>
          <w:p w14:paraId="519B39EE" w14:textId="77777777" w:rsidR="00B42BBC" w:rsidRPr="00C44EE6" w:rsidRDefault="00B42BBC" w:rsidP="00B42BBC">
            <w:pPr>
              <w:rPr>
                <w:rFonts w:ascii="Times New Roman CYR" w:hAnsi="Times New Roman CYR" w:cs="Times New Roman CYR"/>
                <w:i/>
                <w:sz w:val="18"/>
                <w:szCs w:val="18"/>
              </w:rPr>
            </w:pPr>
            <w:r w:rsidRPr="00C44EE6">
              <w:rPr>
                <w:rFonts w:ascii="Times New Roman CYR" w:hAnsi="Times New Roman CYR" w:cs="Times New Roman CYR"/>
                <w:i/>
                <w:sz w:val="18"/>
                <w:szCs w:val="18"/>
              </w:rPr>
              <w:t>Ала-</w:t>
            </w:r>
            <w:proofErr w:type="spellStart"/>
            <w:r w:rsidRPr="00C44EE6">
              <w:rPr>
                <w:rFonts w:ascii="Times New Roman CYR" w:hAnsi="Times New Roman CYR" w:cs="Times New Roman CYR"/>
                <w:i/>
                <w:sz w:val="18"/>
                <w:szCs w:val="18"/>
              </w:rPr>
              <w:t>Букинский</w:t>
            </w:r>
            <w:proofErr w:type="spellEnd"/>
            <w:r w:rsidRPr="00C44EE6">
              <w:rPr>
                <w:rFonts w:ascii="Times New Roman CYR" w:hAnsi="Times New Roman CYR" w:cs="Times New Roman CYR"/>
                <w:i/>
                <w:sz w:val="18"/>
                <w:szCs w:val="18"/>
              </w:rPr>
              <w:t xml:space="preserve"> район</w:t>
            </w:r>
          </w:p>
        </w:tc>
      </w:tr>
      <w:tr w:rsidR="00C44EE6" w:rsidRPr="00C44EE6" w14:paraId="6088A25E" w14:textId="77777777" w:rsidTr="0037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73" w:type="dxa"/>
        </w:trPr>
        <w:tc>
          <w:tcPr>
            <w:tcW w:w="927" w:type="dxa"/>
            <w:tcBorders>
              <w:top w:val="nil"/>
              <w:left w:val="nil"/>
              <w:bottom w:val="nil"/>
              <w:right w:val="nil"/>
            </w:tcBorders>
            <w:vAlign w:val="bottom"/>
          </w:tcPr>
          <w:p w14:paraId="65CBA809" w14:textId="77777777" w:rsidR="00B42BBC" w:rsidRPr="00C44EE6" w:rsidRDefault="00B42BBC" w:rsidP="00B42BBC">
            <w:pPr>
              <w:rPr>
                <w:sz w:val="18"/>
                <w:szCs w:val="18"/>
              </w:rPr>
            </w:pPr>
            <w:r w:rsidRPr="00C44EE6">
              <w:rPr>
                <w:sz w:val="18"/>
                <w:szCs w:val="18"/>
              </w:rPr>
              <w:t>Базар-</w:t>
            </w:r>
            <w:proofErr w:type="spellStart"/>
            <w:r w:rsidRPr="00C44EE6">
              <w:rPr>
                <w:sz w:val="18"/>
                <w:szCs w:val="18"/>
              </w:rPr>
              <w:t>Коргон</w:t>
            </w:r>
            <w:proofErr w:type="spellEnd"/>
            <w:r w:rsidRPr="00C44EE6">
              <w:rPr>
                <w:sz w:val="18"/>
                <w:szCs w:val="18"/>
              </w:rPr>
              <w:t xml:space="preserve"> району</w:t>
            </w:r>
          </w:p>
        </w:tc>
        <w:tc>
          <w:tcPr>
            <w:tcW w:w="789" w:type="dxa"/>
            <w:tcBorders>
              <w:top w:val="nil"/>
              <w:left w:val="nil"/>
              <w:bottom w:val="nil"/>
              <w:right w:val="nil"/>
            </w:tcBorders>
            <w:vAlign w:val="bottom"/>
          </w:tcPr>
          <w:p w14:paraId="50FA4500" w14:textId="11483D7D"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4430</w:t>
            </w:r>
          </w:p>
        </w:tc>
        <w:tc>
          <w:tcPr>
            <w:tcW w:w="789" w:type="dxa"/>
            <w:tcBorders>
              <w:top w:val="nil"/>
              <w:left w:val="nil"/>
              <w:bottom w:val="nil"/>
              <w:right w:val="nil"/>
            </w:tcBorders>
            <w:vAlign w:val="bottom"/>
          </w:tcPr>
          <w:p w14:paraId="2C35E1C6" w14:textId="1B6BAB25"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3670</w:t>
            </w:r>
          </w:p>
        </w:tc>
        <w:tc>
          <w:tcPr>
            <w:tcW w:w="1879" w:type="dxa"/>
            <w:tcBorders>
              <w:top w:val="nil"/>
              <w:left w:val="nil"/>
              <w:bottom w:val="nil"/>
              <w:right w:val="nil"/>
            </w:tcBorders>
            <w:vAlign w:val="bottom"/>
          </w:tcPr>
          <w:p w14:paraId="2A233B6D" w14:textId="0C916FE7"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82,8</w:t>
            </w:r>
          </w:p>
        </w:tc>
        <w:tc>
          <w:tcPr>
            <w:tcW w:w="1905" w:type="dxa"/>
            <w:gridSpan w:val="4"/>
            <w:tcBorders>
              <w:top w:val="nil"/>
              <w:left w:val="nil"/>
              <w:bottom w:val="nil"/>
              <w:right w:val="nil"/>
            </w:tcBorders>
            <w:vAlign w:val="bottom"/>
          </w:tcPr>
          <w:p w14:paraId="24AB9DEA" w14:textId="427EB301"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1208</w:t>
            </w:r>
          </w:p>
        </w:tc>
        <w:tc>
          <w:tcPr>
            <w:tcW w:w="1370" w:type="dxa"/>
            <w:tcBorders>
              <w:top w:val="nil"/>
              <w:left w:val="nil"/>
              <w:bottom w:val="nil"/>
              <w:right w:val="nil"/>
            </w:tcBorders>
            <w:vAlign w:val="bottom"/>
          </w:tcPr>
          <w:p w14:paraId="66D5E143" w14:textId="11A60F26"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421</w:t>
            </w:r>
          </w:p>
        </w:tc>
        <w:tc>
          <w:tcPr>
            <w:tcW w:w="2122" w:type="dxa"/>
            <w:tcBorders>
              <w:top w:val="nil"/>
              <w:left w:val="nil"/>
              <w:bottom w:val="nil"/>
              <w:right w:val="nil"/>
            </w:tcBorders>
            <w:vAlign w:val="bottom"/>
          </w:tcPr>
          <w:p w14:paraId="362FBD94" w14:textId="77777777" w:rsidR="00B42BBC" w:rsidRPr="00C44EE6" w:rsidRDefault="00B42BBC" w:rsidP="00B42BBC">
            <w:pPr>
              <w:rPr>
                <w:rFonts w:ascii="Times New Roman CYR" w:hAnsi="Times New Roman CYR" w:cs="Times New Roman CYR"/>
                <w:i/>
                <w:sz w:val="18"/>
                <w:szCs w:val="18"/>
              </w:rPr>
            </w:pPr>
            <w:r w:rsidRPr="00C44EE6">
              <w:rPr>
                <w:rFonts w:ascii="Times New Roman CYR" w:hAnsi="Times New Roman CYR" w:cs="Times New Roman CYR"/>
                <w:i/>
                <w:sz w:val="18"/>
                <w:szCs w:val="18"/>
              </w:rPr>
              <w:t>Базар-</w:t>
            </w:r>
            <w:proofErr w:type="spellStart"/>
            <w:r w:rsidRPr="00C44EE6">
              <w:rPr>
                <w:rFonts w:ascii="Times New Roman CYR" w:hAnsi="Times New Roman CYR" w:cs="Times New Roman CYR"/>
                <w:i/>
                <w:sz w:val="18"/>
                <w:szCs w:val="18"/>
              </w:rPr>
              <w:t>Коргонский</w:t>
            </w:r>
            <w:proofErr w:type="spellEnd"/>
            <w:r w:rsidRPr="00C44EE6">
              <w:rPr>
                <w:rFonts w:ascii="Times New Roman CYR" w:hAnsi="Times New Roman CYR" w:cs="Times New Roman CYR"/>
                <w:i/>
                <w:sz w:val="18"/>
                <w:szCs w:val="18"/>
              </w:rPr>
              <w:t xml:space="preserve"> район</w:t>
            </w:r>
          </w:p>
        </w:tc>
      </w:tr>
      <w:tr w:rsidR="00C44EE6" w:rsidRPr="00C44EE6" w14:paraId="3A88FE60" w14:textId="77777777" w:rsidTr="0037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73" w:type="dxa"/>
        </w:trPr>
        <w:tc>
          <w:tcPr>
            <w:tcW w:w="927" w:type="dxa"/>
            <w:tcBorders>
              <w:top w:val="nil"/>
              <w:left w:val="nil"/>
              <w:bottom w:val="nil"/>
              <w:right w:val="nil"/>
            </w:tcBorders>
            <w:vAlign w:val="bottom"/>
          </w:tcPr>
          <w:p w14:paraId="74C9D48D" w14:textId="77777777" w:rsidR="00B42BBC" w:rsidRPr="00C44EE6" w:rsidRDefault="00B42BBC" w:rsidP="00B42BBC">
            <w:pPr>
              <w:rPr>
                <w:sz w:val="18"/>
                <w:szCs w:val="18"/>
              </w:rPr>
            </w:pPr>
            <w:proofErr w:type="spellStart"/>
            <w:r w:rsidRPr="00C44EE6">
              <w:rPr>
                <w:sz w:val="18"/>
                <w:szCs w:val="18"/>
              </w:rPr>
              <w:t>Ноокен</w:t>
            </w:r>
            <w:proofErr w:type="spellEnd"/>
            <w:r w:rsidRPr="00C44EE6">
              <w:rPr>
                <w:sz w:val="18"/>
                <w:szCs w:val="18"/>
              </w:rPr>
              <w:t xml:space="preserve"> району</w:t>
            </w:r>
          </w:p>
        </w:tc>
        <w:tc>
          <w:tcPr>
            <w:tcW w:w="789" w:type="dxa"/>
            <w:tcBorders>
              <w:top w:val="nil"/>
              <w:left w:val="nil"/>
              <w:bottom w:val="nil"/>
              <w:right w:val="nil"/>
            </w:tcBorders>
            <w:vAlign w:val="bottom"/>
          </w:tcPr>
          <w:p w14:paraId="7DEC0E58" w14:textId="2A9FD9DB"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1617</w:t>
            </w:r>
          </w:p>
        </w:tc>
        <w:tc>
          <w:tcPr>
            <w:tcW w:w="789" w:type="dxa"/>
            <w:tcBorders>
              <w:top w:val="nil"/>
              <w:left w:val="nil"/>
              <w:bottom w:val="nil"/>
              <w:right w:val="nil"/>
            </w:tcBorders>
            <w:vAlign w:val="bottom"/>
          </w:tcPr>
          <w:p w14:paraId="63EF402D" w14:textId="5175711D"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1544</w:t>
            </w:r>
          </w:p>
        </w:tc>
        <w:tc>
          <w:tcPr>
            <w:tcW w:w="1879" w:type="dxa"/>
            <w:tcBorders>
              <w:top w:val="nil"/>
              <w:left w:val="nil"/>
              <w:bottom w:val="nil"/>
              <w:right w:val="nil"/>
            </w:tcBorders>
            <w:vAlign w:val="bottom"/>
          </w:tcPr>
          <w:p w14:paraId="6C7DE213" w14:textId="2181351C"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95,4</w:t>
            </w:r>
          </w:p>
        </w:tc>
        <w:tc>
          <w:tcPr>
            <w:tcW w:w="1905" w:type="dxa"/>
            <w:gridSpan w:val="4"/>
            <w:tcBorders>
              <w:top w:val="nil"/>
              <w:left w:val="nil"/>
              <w:bottom w:val="nil"/>
              <w:right w:val="nil"/>
            </w:tcBorders>
            <w:vAlign w:val="bottom"/>
          </w:tcPr>
          <w:p w14:paraId="3456EA0A" w14:textId="74DF4943"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602</w:t>
            </w:r>
          </w:p>
        </w:tc>
        <w:tc>
          <w:tcPr>
            <w:tcW w:w="1370" w:type="dxa"/>
            <w:tcBorders>
              <w:top w:val="nil"/>
              <w:left w:val="nil"/>
              <w:bottom w:val="nil"/>
              <w:right w:val="nil"/>
            </w:tcBorders>
            <w:vAlign w:val="bottom"/>
          </w:tcPr>
          <w:p w14:paraId="055D5448" w14:textId="350A843B"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329</w:t>
            </w:r>
          </w:p>
        </w:tc>
        <w:tc>
          <w:tcPr>
            <w:tcW w:w="2122" w:type="dxa"/>
            <w:tcBorders>
              <w:top w:val="nil"/>
              <w:left w:val="nil"/>
              <w:bottom w:val="nil"/>
              <w:right w:val="nil"/>
            </w:tcBorders>
            <w:vAlign w:val="bottom"/>
          </w:tcPr>
          <w:p w14:paraId="68770F0B" w14:textId="77777777" w:rsidR="00B42BBC" w:rsidRPr="00C44EE6" w:rsidRDefault="00B42BBC" w:rsidP="00B42BBC">
            <w:pPr>
              <w:rPr>
                <w:rFonts w:ascii="Times New Roman CYR" w:hAnsi="Times New Roman CYR" w:cs="Times New Roman CYR"/>
                <w:i/>
                <w:sz w:val="18"/>
                <w:szCs w:val="18"/>
              </w:rPr>
            </w:pPr>
            <w:proofErr w:type="spellStart"/>
            <w:r w:rsidRPr="00C44EE6">
              <w:rPr>
                <w:rFonts w:ascii="Times New Roman CYR" w:hAnsi="Times New Roman CYR" w:cs="Times New Roman CYR"/>
                <w:i/>
                <w:sz w:val="18"/>
                <w:szCs w:val="18"/>
              </w:rPr>
              <w:t>Ноокенский</w:t>
            </w:r>
            <w:proofErr w:type="spellEnd"/>
            <w:r w:rsidRPr="00C44EE6">
              <w:rPr>
                <w:rFonts w:ascii="Times New Roman CYR" w:hAnsi="Times New Roman CYR" w:cs="Times New Roman CYR"/>
                <w:i/>
                <w:sz w:val="18"/>
                <w:szCs w:val="18"/>
              </w:rPr>
              <w:t xml:space="preserve"> район</w:t>
            </w:r>
          </w:p>
        </w:tc>
      </w:tr>
      <w:tr w:rsidR="00C44EE6" w:rsidRPr="00C44EE6" w14:paraId="495849E0" w14:textId="77777777" w:rsidTr="0037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73" w:type="dxa"/>
        </w:trPr>
        <w:tc>
          <w:tcPr>
            <w:tcW w:w="927" w:type="dxa"/>
            <w:tcBorders>
              <w:top w:val="nil"/>
              <w:left w:val="nil"/>
              <w:bottom w:val="nil"/>
              <w:right w:val="nil"/>
            </w:tcBorders>
            <w:vAlign w:val="bottom"/>
          </w:tcPr>
          <w:p w14:paraId="34937980" w14:textId="77777777" w:rsidR="00B42BBC" w:rsidRPr="00C44EE6" w:rsidRDefault="00B42BBC" w:rsidP="00B42BBC">
            <w:pPr>
              <w:rPr>
                <w:rFonts w:ascii="Times New Roman CYR" w:hAnsi="Times New Roman CYR" w:cs="Times New Roman CYR"/>
                <w:sz w:val="18"/>
                <w:szCs w:val="18"/>
              </w:rPr>
            </w:pPr>
            <w:r w:rsidRPr="00C44EE6">
              <w:rPr>
                <w:rFonts w:ascii="Times New Roman CYR" w:hAnsi="Times New Roman CYR" w:cs="Times New Roman CYR"/>
                <w:sz w:val="18"/>
                <w:szCs w:val="18"/>
              </w:rPr>
              <w:t>Сузак району</w:t>
            </w:r>
          </w:p>
        </w:tc>
        <w:tc>
          <w:tcPr>
            <w:tcW w:w="789" w:type="dxa"/>
            <w:tcBorders>
              <w:top w:val="nil"/>
              <w:left w:val="nil"/>
              <w:bottom w:val="nil"/>
              <w:right w:val="nil"/>
            </w:tcBorders>
            <w:vAlign w:val="bottom"/>
          </w:tcPr>
          <w:p w14:paraId="18A8E810" w14:textId="6F7F8CB2"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3125</w:t>
            </w:r>
          </w:p>
        </w:tc>
        <w:tc>
          <w:tcPr>
            <w:tcW w:w="789" w:type="dxa"/>
            <w:tcBorders>
              <w:top w:val="nil"/>
              <w:left w:val="nil"/>
              <w:bottom w:val="nil"/>
              <w:right w:val="nil"/>
            </w:tcBorders>
            <w:vAlign w:val="bottom"/>
          </w:tcPr>
          <w:p w14:paraId="22DB6902" w14:textId="0B456A86"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1182</w:t>
            </w:r>
          </w:p>
        </w:tc>
        <w:tc>
          <w:tcPr>
            <w:tcW w:w="1879" w:type="dxa"/>
            <w:tcBorders>
              <w:top w:val="nil"/>
              <w:left w:val="nil"/>
              <w:bottom w:val="nil"/>
              <w:right w:val="nil"/>
            </w:tcBorders>
            <w:vAlign w:val="bottom"/>
          </w:tcPr>
          <w:p w14:paraId="5658383C" w14:textId="011452DA"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37,8</w:t>
            </w:r>
          </w:p>
        </w:tc>
        <w:tc>
          <w:tcPr>
            <w:tcW w:w="1905" w:type="dxa"/>
            <w:gridSpan w:val="4"/>
            <w:tcBorders>
              <w:top w:val="nil"/>
              <w:left w:val="nil"/>
              <w:bottom w:val="nil"/>
              <w:right w:val="nil"/>
            </w:tcBorders>
            <w:vAlign w:val="bottom"/>
          </w:tcPr>
          <w:p w14:paraId="11722CB8" w14:textId="03BB2335"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867</w:t>
            </w:r>
          </w:p>
        </w:tc>
        <w:tc>
          <w:tcPr>
            <w:tcW w:w="1370" w:type="dxa"/>
            <w:tcBorders>
              <w:top w:val="nil"/>
              <w:left w:val="nil"/>
              <w:bottom w:val="nil"/>
              <w:right w:val="nil"/>
            </w:tcBorders>
            <w:vAlign w:val="bottom"/>
          </w:tcPr>
          <w:p w14:paraId="642A36EE" w14:textId="3D424999"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420</w:t>
            </w:r>
          </w:p>
        </w:tc>
        <w:tc>
          <w:tcPr>
            <w:tcW w:w="2122" w:type="dxa"/>
            <w:tcBorders>
              <w:top w:val="nil"/>
              <w:left w:val="nil"/>
              <w:bottom w:val="nil"/>
              <w:right w:val="nil"/>
            </w:tcBorders>
            <w:vAlign w:val="bottom"/>
          </w:tcPr>
          <w:p w14:paraId="428A291E" w14:textId="77777777" w:rsidR="00B42BBC" w:rsidRPr="00C44EE6" w:rsidRDefault="00B42BBC" w:rsidP="00B42BBC">
            <w:pPr>
              <w:rPr>
                <w:rFonts w:ascii="Times New Roman CYR" w:hAnsi="Times New Roman CYR" w:cs="Times New Roman CYR"/>
                <w:i/>
                <w:sz w:val="18"/>
                <w:szCs w:val="18"/>
              </w:rPr>
            </w:pPr>
            <w:proofErr w:type="spellStart"/>
            <w:r w:rsidRPr="00C44EE6">
              <w:rPr>
                <w:rFonts w:ascii="Times New Roman CYR" w:hAnsi="Times New Roman CYR" w:cs="Times New Roman CYR"/>
                <w:i/>
                <w:sz w:val="18"/>
                <w:szCs w:val="18"/>
              </w:rPr>
              <w:t>Сузакский</w:t>
            </w:r>
            <w:proofErr w:type="spellEnd"/>
            <w:r w:rsidRPr="00C44EE6">
              <w:rPr>
                <w:rFonts w:ascii="Times New Roman CYR" w:hAnsi="Times New Roman CYR" w:cs="Times New Roman CYR"/>
                <w:i/>
                <w:sz w:val="18"/>
                <w:szCs w:val="18"/>
              </w:rPr>
              <w:t xml:space="preserve"> район</w:t>
            </w:r>
          </w:p>
        </w:tc>
      </w:tr>
      <w:tr w:rsidR="00C44EE6" w:rsidRPr="00C44EE6" w14:paraId="4A91F3D5" w14:textId="77777777" w:rsidTr="0037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73" w:type="dxa"/>
        </w:trPr>
        <w:tc>
          <w:tcPr>
            <w:tcW w:w="927" w:type="dxa"/>
            <w:tcBorders>
              <w:top w:val="nil"/>
              <w:left w:val="nil"/>
              <w:bottom w:val="nil"/>
              <w:right w:val="nil"/>
            </w:tcBorders>
            <w:vAlign w:val="bottom"/>
          </w:tcPr>
          <w:p w14:paraId="5B16F861" w14:textId="77777777" w:rsidR="00B42BBC" w:rsidRPr="00C44EE6" w:rsidRDefault="00B42BBC" w:rsidP="00B42BBC">
            <w:pPr>
              <w:rPr>
                <w:rFonts w:ascii="Times New Roman CYR" w:hAnsi="Times New Roman CYR" w:cs="Times New Roman CYR"/>
                <w:sz w:val="18"/>
                <w:szCs w:val="18"/>
                <w:lang w:val="ky-KG"/>
              </w:rPr>
            </w:pPr>
            <w:r w:rsidRPr="00C44EE6">
              <w:rPr>
                <w:sz w:val="18"/>
                <w:szCs w:val="18"/>
                <w:lang w:val="ky-KG"/>
              </w:rPr>
              <w:t>а.и.</w:t>
            </w:r>
            <w:r w:rsidRPr="00C44EE6">
              <w:rPr>
                <w:sz w:val="18"/>
                <w:szCs w:val="18"/>
              </w:rPr>
              <w:t xml:space="preserve"> </w:t>
            </w:r>
            <w:r w:rsidRPr="00C44EE6">
              <w:rPr>
                <w:rFonts w:ascii="Times New Roman CYR" w:hAnsi="Times New Roman CYR" w:cs="Times New Roman CYR"/>
                <w:sz w:val="18"/>
                <w:szCs w:val="18"/>
              </w:rPr>
              <w:t>К</w:t>
            </w:r>
            <w:r w:rsidRPr="00C44EE6">
              <w:rPr>
                <w:rFonts w:ascii="Times New Roman CYR" w:hAnsi="Times New Roman CYR" w:cs="Times New Roman CYR"/>
                <w:sz w:val="18"/>
                <w:szCs w:val="18"/>
                <w:lang w:val="ky-KG"/>
              </w:rPr>
              <w:t>ө</w:t>
            </w:r>
            <w:r w:rsidRPr="00C44EE6">
              <w:rPr>
                <w:rFonts w:ascii="Times New Roman CYR" w:hAnsi="Times New Roman CYR" w:cs="Times New Roman CYR"/>
                <w:sz w:val="18"/>
                <w:szCs w:val="18"/>
              </w:rPr>
              <w:t>к-</w:t>
            </w:r>
            <w:proofErr w:type="spellStart"/>
            <w:r w:rsidRPr="00C44EE6">
              <w:rPr>
                <w:rFonts w:ascii="Times New Roman CYR" w:hAnsi="Times New Roman CYR" w:cs="Times New Roman CYR"/>
                <w:sz w:val="18"/>
                <w:szCs w:val="18"/>
              </w:rPr>
              <w:t>Жангак</w:t>
            </w:r>
            <w:proofErr w:type="spellEnd"/>
            <w:r w:rsidRPr="00C44EE6">
              <w:rPr>
                <w:rFonts w:ascii="Times New Roman CYR" w:hAnsi="Times New Roman CYR" w:cs="Times New Roman CYR"/>
                <w:sz w:val="18"/>
                <w:szCs w:val="18"/>
              </w:rPr>
              <w:t xml:space="preserve"> ш</w:t>
            </w:r>
            <w:r w:rsidRPr="00C44EE6">
              <w:rPr>
                <w:rFonts w:ascii="Times New Roman CYR" w:hAnsi="Times New Roman CYR" w:cs="Times New Roman CYR"/>
                <w:sz w:val="18"/>
                <w:szCs w:val="18"/>
                <w:lang w:val="ky-KG"/>
              </w:rPr>
              <w:t>.</w:t>
            </w:r>
          </w:p>
        </w:tc>
        <w:tc>
          <w:tcPr>
            <w:tcW w:w="789" w:type="dxa"/>
            <w:tcBorders>
              <w:top w:val="nil"/>
              <w:left w:val="nil"/>
              <w:bottom w:val="nil"/>
              <w:right w:val="nil"/>
            </w:tcBorders>
            <w:vAlign w:val="bottom"/>
          </w:tcPr>
          <w:p w14:paraId="1B43918F" w14:textId="330E5166"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391</w:t>
            </w:r>
          </w:p>
        </w:tc>
        <w:tc>
          <w:tcPr>
            <w:tcW w:w="789" w:type="dxa"/>
            <w:tcBorders>
              <w:top w:val="nil"/>
              <w:left w:val="nil"/>
              <w:bottom w:val="nil"/>
              <w:right w:val="nil"/>
            </w:tcBorders>
            <w:vAlign w:val="bottom"/>
          </w:tcPr>
          <w:p w14:paraId="0A33D925" w14:textId="47559656"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297</w:t>
            </w:r>
          </w:p>
        </w:tc>
        <w:tc>
          <w:tcPr>
            <w:tcW w:w="1879" w:type="dxa"/>
            <w:tcBorders>
              <w:top w:val="nil"/>
              <w:left w:val="nil"/>
              <w:bottom w:val="nil"/>
              <w:right w:val="nil"/>
            </w:tcBorders>
            <w:vAlign w:val="bottom"/>
          </w:tcPr>
          <w:p w14:paraId="021E0AC8" w14:textId="39754ABE"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75,9</w:t>
            </w:r>
          </w:p>
        </w:tc>
        <w:tc>
          <w:tcPr>
            <w:tcW w:w="1905" w:type="dxa"/>
            <w:gridSpan w:val="4"/>
            <w:tcBorders>
              <w:top w:val="nil"/>
              <w:left w:val="nil"/>
              <w:bottom w:val="nil"/>
              <w:right w:val="nil"/>
            </w:tcBorders>
            <w:vAlign w:val="bottom"/>
          </w:tcPr>
          <w:p w14:paraId="55903FD2" w14:textId="63C12B45"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192</w:t>
            </w:r>
          </w:p>
        </w:tc>
        <w:tc>
          <w:tcPr>
            <w:tcW w:w="1370" w:type="dxa"/>
            <w:tcBorders>
              <w:top w:val="nil"/>
              <w:left w:val="nil"/>
              <w:bottom w:val="nil"/>
              <w:right w:val="nil"/>
            </w:tcBorders>
            <w:vAlign w:val="bottom"/>
          </w:tcPr>
          <w:p w14:paraId="19ED38BB" w14:textId="04A5E484"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59</w:t>
            </w:r>
          </w:p>
        </w:tc>
        <w:tc>
          <w:tcPr>
            <w:tcW w:w="2122" w:type="dxa"/>
            <w:tcBorders>
              <w:top w:val="nil"/>
              <w:left w:val="nil"/>
              <w:bottom w:val="nil"/>
              <w:right w:val="nil"/>
            </w:tcBorders>
            <w:vAlign w:val="bottom"/>
          </w:tcPr>
          <w:p w14:paraId="3CA61575" w14:textId="77777777" w:rsidR="00B42BBC" w:rsidRPr="00C44EE6" w:rsidRDefault="00B42BBC" w:rsidP="00B42BBC">
            <w:pPr>
              <w:ind w:firstLineChars="100" w:firstLine="180"/>
              <w:rPr>
                <w:rFonts w:ascii="Times New Roman CYR" w:hAnsi="Times New Roman CYR" w:cs="Times New Roman CYR"/>
                <w:i/>
                <w:sz w:val="18"/>
                <w:szCs w:val="18"/>
              </w:rPr>
            </w:pPr>
            <w:r w:rsidRPr="00C44EE6">
              <w:rPr>
                <w:rFonts w:ascii="Times New Roman CYR" w:hAnsi="Times New Roman CYR" w:cs="Times New Roman CYR"/>
                <w:i/>
                <w:sz w:val="18"/>
                <w:szCs w:val="18"/>
              </w:rPr>
              <w:t xml:space="preserve">  </w:t>
            </w:r>
            <w:r w:rsidRPr="00C44EE6">
              <w:rPr>
                <w:rFonts w:ascii="Times New Roman CYR" w:hAnsi="Times New Roman CYR" w:cs="Times New Roman CYR"/>
                <w:i/>
                <w:sz w:val="18"/>
                <w:szCs w:val="18"/>
                <w:lang w:val="ky-KG"/>
              </w:rPr>
              <w:t>в.т.ч</w:t>
            </w:r>
            <w:r w:rsidRPr="00C44EE6">
              <w:rPr>
                <w:rFonts w:ascii="Times New Roman CYR" w:hAnsi="Times New Roman CYR" w:cs="Times New Roman CYR"/>
                <w:i/>
                <w:sz w:val="18"/>
                <w:szCs w:val="18"/>
              </w:rPr>
              <w:t xml:space="preserve"> г Кок-</w:t>
            </w:r>
            <w:proofErr w:type="spellStart"/>
            <w:r w:rsidRPr="00C44EE6">
              <w:rPr>
                <w:rFonts w:ascii="Times New Roman CYR" w:hAnsi="Times New Roman CYR" w:cs="Times New Roman CYR"/>
                <w:i/>
                <w:sz w:val="18"/>
                <w:szCs w:val="18"/>
              </w:rPr>
              <w:t>Жангак</w:t>
            </w:r>
            <w:proofErr w:type="spellEnd"/>
          </w:p>
        </w:tc>
      </w:tr>
      <w:tr w:rsidR="00C44EE6" w:rsidRPr="00C44EE6" w14:paraId="252B4EB2" w14:textId="77777777" w:rsidTr="0037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73" w:type="dxa"/>
        </w:trPr>
        <w:tc>
          <w:tcPr>
            <w:tcW w:w="927" w:type="dxa"/>
            <w:tcBorders>
              <w:top w:val="nil"/>
              <w:left w:val="nil"/>
              <w:bottom w:val="nil"/>
              <w:right w:val="nil"/>
            </w:tcBorders>
            <w:vAlign w:val="bottom"/>
          </w:tcPr>
          <w:p w14:paraId="5C441369" w14:textId="77777777" w:rsidR="00B42BBC" w:rsidRPr="00C44EE6" w:rsidRDefault="00B42BBC" w:rsidP="00B42BBC">
            <w:pPr>
              <w:rPr>
                <w:rFonts w:ascii="Times New Roman CYR" w:hAnsi="Times New Roman CYR" w:cs="Times New Roman CYR"/>
                <w:sz w:val="18"/>
                <w:szCs w:val="18"/>
              </w:rPr>
            </w:pPr>
            <w:proofErr w:type="spellStart"/>
            <w:r w:rsidRPr="00C44EE6">
              <w:rPr>
                <w:rFonts w:ascii="Times New Roman CYR" w:hAnsi="Times New Roman CYR" w:cs="Times New Roman CYR"/>
                <w:sz w:val="18"/>
                <w:szCs w:val="18"/>
              </w:rPr>
              <w:t>Тогуз</w:t>
            </w:r>
            <w:proofErr w:type="spellEnd"/>
            <w:r w:rsidRPr="00C44EE6">
              <w:rPr>
                <w:rFonts w:ascii="Times New Roman CYR" w:hAnsi="Times New Roman CYR" w:cs="Times New Roman CYR"/>
                <w:sz w:val="18"/>
                <w:szCs w:val="18"/>
              </w:rPr>
              <w:t>-Торо район</w:t>
            </w:r>
          </w:p>
        </w:tc>
        <w:tc>
          <w:tcPr>
            <w:tcW w:w="789" w:type="dxa"/>
            <w:tcBorders>
              <w:top w:val="nil"/>
              <w:left w:val="nil"/>
              <w:bottom w:val="nil"/>
              <w:right w:val="nil"/>
            </w:tcBorders>
            <w:vAlign w:val="bottom"/>
          </w:tcPr>
          <w:p w14:paraId="3AA9859A" w14:textId="6B3C4563"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982</w:t>
            </w:r>
          </w:p>
        </w:tc>
        <w:tc>
          <w:tcPr>
            <w:tcW w:w="789" w:type="dxa"/>
            <w:tcBorders>
              <w:top w:val="nil"/>
              <w:left w:val="nil"/>
              <w:bottom w:val="nil"/>
              <w:right w:val="nil"/>
            </w:tcBorders>
            <w:vAlign w:val="bottom"/>
          </w:tcPr>
          <w:p w14:paraId="14773259" w14:textId="023ED1F7"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958</w:t>
            </w:r>
          </w:p>
        </w:tc>
        <w:tc>
          <w:tcPr>
            <w:tcW w:w="1879" w:type="dxa"/>
            <w:tcBorders>
              <w:top w:val="nil"/>
              <w:left w:val="nil"/>
              <w:bottom w:val="nil"/>
              <w:right w:val="nil"/>
            </w:tcBorders>
            <w:vAlign w:val="bottom"/>
          </w:tcPr>
          <w:p w14:paraId="3BD34C29" w14:textId="3F09B2E4"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97,5</w:t>
            </w:r>
          </w:p>
        </w:tc>
        <w:tc>
          <w:tcPr>
            <w:tcW w:w="1905" w:type="dxa"/>
            <w:gridSpan w:val="4"/>
            <w:tcBorders>
              <w:top w:val="nil"/>
              <w:left w:val="nil"/>
              <w:bottom w:val="nil"/>
              <w:right w:val="nil"/>
            </w:tcBorders>
            <w:vAlign w:val="bottom"/>
          </w:tcPr>
          <w:p w14:paraId="341D93D7" w14:textId="7220BD94"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152</w:t>
            </w:r>
          </w:p>
        </w:tc>
        <w:tc>
          <w:tcPr>
            <w:tcW w:w="1370" w:type="dxa"/>
            <w:tcBorders>
              <w:top w:val="nil"/>
              <w:left w:val="nil"/>
              <w:bottom w:val="nil"/>
              <w:right w:val="nil"/>
            </w:tcBorders>
            <w:vAlign w:val="bottom"/>
          </w:tcPr>
          <w:p w14:paraId="6DBD7BDD" w14:textId="6D15C50F"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65</w:t>
            </w:r>
          </w:p>
        </w:tc>
        <w:tc>
          <w:tcPr>
            <w:tcW w:w="2122" w:type="dxa"/>
            <w:tcBorders>
              <w:top w:val="nil"/>
              <w:left w:val="nil"/>
              <w:bottom w:val="nil"/>
              <w:right w:val="nil"/>
            </w:tcBorders>
            <w:vAlign w:val="bottom"/>
          </w:tcPr>
          <w:p w14:paraId="1945C88B" w14:textId="77777777" w:rsidR="00B42BBC" w:rsidRPr="00C44EE6" w:rsidRDefault="00B42BBC" w:rsidP="00B42BBC">
            <w:pPr>
              <w:rPr>
                <w:rFonts w:ascii="Times New Roman CYR" w:hAnsi="Times New Roman CYR" w:cs="Times New Roman CYR"/>
                <w:i/>
                <w:sz w:val="18"/>
                <w:szCs w:val="18"/>
              </w:rPr>
            </w:pPr>
            <w:proofErr w:type="spellStart"/>
            <w:r w:rsidRPr="00C44EE6">
              <w:rPr>
                <w:rFonts w:ascii="Times New Roman CYR" w:hAnsi="Times New Roman CYR" w:cs="Times New Roman CYR"/>
                <w:i/>
                <w:sz w:val="18"/>
                <w:szCs w:val="18"/>
              </w:rPr>
              <w:t>Тогуз-Тороуский</w:t>
            </w:r>
            <w:proofErr w:type="spellEnd"/>
            <w:r w:rsidRPr="00C44EE6">
              <w:rPr>
                <w:rFonts w:ascii="Times New Roman CYR" w:hAnsi="Times New Roman CYR" w:cs="Times New Roman CYR"/>
                <w:i/>
                <w:sz w:val="18"/>
                <w:szCs w:val="18"/>
              </w:rPr>
              <w:t xml:space="preserve"> район</w:t>
            </w:r>
          </w:p>
        </w:tc>
      </w:tr>
      <w:tr w:rsidR="00C44EE6" w:rsidRPr="00C44EE6" w14:paraId="18071122" w14:textId="77777777" w:rsidTr="0037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73" w:type="dxa"/>
        </w:trPr>
        <w:tc>
          <w:tcPr>
            <w:tcW w:w="927" w:type="dxa"/>
            <w:tcBorders>
              <w:top w:val="nil"/>
              <w:left w:val="nil"/>
              <w:bottom w:val="nil"/>
              <w:right w:val="nil"/>
            </w:tcBorders>
            <w:vAlign w:val="bottom"/>
          </w:tcPr>
          <w:p w14:paraId="0976C01C" w14:textId="77777777" w:rsidR="00B42BBC" w:rsidRPr="00C44EE6" w:rsidRDefault="00B42BBC" w:rsidP="00B42BBC">
            <w:pPr>
              <w:rPr>
                <w:rFonts w:ascii="Times New Roman CYR" w:hAnsi="Times New Roman CYR" w:cs="Times New Roman CYR"/>
                <w:sz w:val="18"/>
                <w:szCs w:val="18"/>
              </w:rPr>
            </w:pPr>
            <w:r w:rsidRPr="00C44EE6">
              <w:rPr>
                <w:rFonts w:ascii="Times New Roman CYR" w:hAnsi="Times New Roman CYR" w:cs="Times New Roman CYR"/>
                <w:sz w:val="18"/>
                <w:szCs w:val="18"/>
              </w:rPr>
              <w:t>Токтогул району</w:t>
            </w:r>
          </w:p>
        </w:tc>
        <w:tc>
          <w:tcPr>
            <w:tcW w:w="789" w:type="dxa"/>
            <w:tcBorders>
              <w:top w:val="nil"/>
              <w:left w:val="nil"/>
              <w:bottom w:val="nil"/>
              <w:right w:val="nil"/>
            </w:tcBorders>
            <w:vAlign w:val="bottom"/>
          </w:tcPr>
          <w:p w14:paraId="2BB4A38D" w14:textId="7735B8AC"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1948</w:t>
            </w:r>
          </w:p>
        </w:tc>
        <w:tc>
          <w:tcPr>
            <w:tcW w:w="789" w:type="dxa"/>
            <w:tcBorders>
              <w:top w:val="nil"/>
              <w:left w:val="nil"/>
              <w:bottom w:val="nil"/>
              <w:right w:val="nil"/>
            </w:tcBorders>
            <w:vAlign w:val="bottom"/>
          </w:tcPr>
          <w:p w14:paraId="4BF32699" w14:textId="62FA91CC"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1433</w:t>
            </w:r>
          </w:p>
        </w:tc>
        <w:tc>
          <w:tcPr>
            <w:tcW w:w="1879" w:type="dxa"/>
            <w:tcBorders>
              <w:top w:val="nil"/>
              <w:left w:val="nil"/>
              <w:bottom w:val="nil"/>
              <w:right w:val="nil"/>
            </w:tcBorders>
            <w:vAlign w:val="bottom"/>
          </w:tcPr>
          <w:p w14:paraId="4A1C9545" w14:textId="41B82DEE"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73,5</w:t>
            </w:r>
          </w:p>
        </w:tc>
        <w:tc>
          <w:tcPr>
            <w:tcW w:w="1905" w:type="dxa"/>
            <w:gridSpan w:val="4"/>
            <w:tcBorders>
              <w:top w:val="nil"/>
              <w:left w:val="nil"/>
              <w:bottom w:val="nil"/>
              <w:right w:val="nil"/>
            </w:tcBorders>
            <w:vAlign w:val="bottom"/>
          </w:tcPr>
          <w:p w14:paraId="4597622A" w14:textId="51C6CFBD"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1166</w:t>
            </w:r>
          </w:p>
        </w:tc>
        <w:tc>
          <w:tcPr>
            <w:tcW w:w="1370" w:type="dxa"/>
            <w:tcBorders>
              <w:top w:val="nil"/>
              <w:left w:val="nil"/>
              <w:bottom w:val="nil"/>
              <w:right w:val="nil"/>
            </w:tcBorders>
            <w:vAlign w:val="bottom"/>
          </w:tcPr>
          <w:p w14:paraId="5B9DC6E3" w14:textId="531C5C0D"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497</w:t>
            </w:r>
          </w:p>
        </w:tc>
        <w:tc>
          <w:tcPr>
            <w:tcW w:w="2122" w:type="dxa"/>
            <w:tcBorders>
              <w:top w:val="nil"/>
              <w:left w:val="nil"/>
              <w:bottom w:val="nil"/>
              <w:right w:val="nil"/>
            </w:tcBorders>
            <w:vAlign w:val="bottom"/>
          </w:tcPr>
          <w:p w14:paraId="4EE3E64E" w14:textId="77777777" w:rsidR="00B42BBC" w:rsidRPr="00C44EE6" w:rsidRDefault="00B42BBC" w:rsidP="00B42BBC">
            <w:pPr>
              <w:rPr>
                <w:rFonts w:ascii="Times New Roman CYR" w:hAnsi="Times New Roman CYR" w:cs="Times New Roman CYR"/>
                <w:i/>
                <w:sz w:val="18"/>
                <w:szCs w:val="18"/>
              </w:rPr>
            </w:pPr>
            <w:r w:rsidRPr="00C44EE6">
              <w:rPr>
                <w:rFonts w:ascii="Times New Roman CYR" w:hAnsi="Times New Roman CYR" w:cs="Times New Roman CYR"/>
                <w:i/>
                <w:sz w:val="18"/>
                <w:szCs w:val="18"/>
              </w:rPr>
              <w:t>Токтогульский район</w:t>
            </w:r>
          </w:p>
        </w:tc>
      </w:tr>
      <w:tr w:rsidR="00C44EE6" w:rsidRPr="00C44EE6" w14:paraId="6F6F8FBB" w14:textId="77777777" w:rsidTr="0037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73" w:type="dxa"/>
        </w:trPr>
        <w:tc>
          <w:tcPr>
            <w:tcW w:w="927" w:type="dxa"/>
            <w:tcBorders>
              <w:top w:val="nil"/>
              <w:left w:val="nil"/>
              <w:bottom w:val="nil"/>
              <w:right w:val="nil"/>
            </w:tcBorders>
            <w:vAlign w:val="bottom"/>
          </w:tcPr>
          <w:p w14:paraId="6229142D" w14:textId="77777777" w:rsidR="00B42BBC" w:rsidRPr="00C44EE6" w:rsidRDefault="00B42BBC" w:rsidP="00B42BBC">
            <w:pPr>
              <w:rPr>
                <w:rFonts w:ascii="Times New Roman CYR" w:hAnsi="Times New Roman CYR" w:cs="Times New Roman CYR"/>
                <w:sz w:val="18"/>
                <w:szCs w:val="18"/>
              </w:rPr>
            </w:pPr>
            <w:proofErr w:type="spellStart"/>
            <w:r w:rsidRPr="00C44EE6">
              <w:rPr>
                <w:rFonts w:ascii="Times New Roman CYR" w:hAnsi="Times New Roman CYR" w:cs="Times New Roman CYR"/>
                <w:sz w:val="18"/>
                <w:szCs w:val="18"/>
              </w:rPr>
              <w:t>Чаткал</w:t>
            </w:r>
            <w:proofErr w:type="spellEnd"/>
            <w:r w:rsidRPr="00C44EE6">
              <w:rPr>
                <w:rFonts w:ascii="Times New Roman CYR" w:hAnsi="Times New Roman CYR" w:cs="Times New Roman CYR"/>
                <w:sz w:val="18"/>
                <w:szCs w:val="18"/>
              </w:rPr>
              <w:t xml:space="preserve"> району </w:t>
            </w:r>
          </w:p>
        </w:tc>
        <w:tc>
          <w:tcPr>
            <w:tcW w:w="789" w:type="dxa"/>
            <w:tcBorders>
              <w:top w:val="nil"/>
              <w:left w:val="nil"/>
              <w:bottom w:val="nil"/>
              <w:right w:val="nil"/>
            </w:tcBorders>
            <w:vAlign w:val="bottom"/>
          </w:tcPr>
          <w:p w14:paraId="5CF7DF7B" w14:textId="02044920"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895</w:t>
            </w:r>
          </w:p>
        </w:tc>
        <w:tc>
          <w:tcPr>
            <w:tcW w:w="789" w:type="dxa"/>
            <w:tcBorders>
              <w:top w:val="nil"/>
              <w:left w:val="nil"/>
              <w:bottom w:val="nil"/>
              <w:right w:val="nil"/>
            </w:tcBorders>
            <w:vAlign w:val="bottom"/>
          </w:tcPr>
          <w:p w14:paraId="2C45696C" w14:textId="79760166"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711</w:t>
            </w:r>
          </w:p>
        </w:tc>
        <w:tc>
          <w:tcPr>
            <w:tcW w:w="1879" w:type="dxa"/>
            <w:tcBorders>
              <w:top w:val="nil"/>
              <w:left w:val="nil"/>
              <w:bottom w:val="nil"/>
              <w:right w:val="nil"/>
            </w:tcBorders>
            <w:vAlign w:val="bottom"/>
          </w:tcPr>
          <w:p w14:paraId="7DEA11BF" w14:textId="3F20AFC7"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79,4</w:t>
            </w:r>
          </w:p>
        </w:tc>
        <w:tc>
          <w:tcPr>
            <w:tcW w:w="1905" w:type="dxa"/>
            <w:gridSpan w:val="4"/>
            <w:tcBorders>
              <w:top w:val="nil"/>
              <w:left w:val="nil"/>
              <w:bottom w:val="nil"/>
              <w:right w:val="nil"/>
            </w:tcBorders>
            <w:vAlign w:val="bottom"/>
          </w:tcPr>
          <w:p w14:paraId="17B7D176" w14:textId="64042A4D"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496</w:t>
            </w:r>
          </w:p>
        </w:tc>
        <w:tc>
          <w:tcPr>
            <w:tcW w:w="1370" w:type="dxa"/>
            <w:tcBorders>
              <w:top w:val="nil"/>
              <w:left w:val="nil"/>
              <w:bottom w:val="nil"/>
              <w:right w:val="nil"/>
            </w:tcBorders>
            <w:vAlign w:val="bottom"/>
          </w:tcPr>
          <w:p w14:paraId="01EB6620" w14:textId="0ED7B0FB"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184</w:t>
            </w:r>
          </w:p>
        </w:tc>
        <w:tc>
          <w:tcPr>
            <w:tcW w:w="2122" w:type="dxa"/>
            <w:tcBorders>
              <w:top w:val="nil"/>
              <w:left w:val="nil"/>
              <w:bottom w:val="nil"/>
              <w:right w:val="nil"/>
            </w:tcBorders>
            <w:vAlign w:val="bottom"/>
          </w:tcPr>
          <w:p w14:paraId="3EB98D53" w14:textId="77777777" w:rsidR="00B42BBC" w:rsidRPr="00C44EE6" w:rsidRDefault="00B42BBC" w:rsidP="00B42BBC">
            <w:pPr>
              <w:rPr>
                <w:rFonts w:ascii="Times New Roman CYR" w:hAnsi="Times New Roman CYR" w:cs="Times New Roman CYR"/>
                <w:i/>
                <w:sz w:val="18"/>
                <w:szCs w:val="18"/>
              </w:rPr>
            </w:pPr>
            <w:proofErr w:type="spellStart"/>
            <w:r w:rsidRPr="00C44EE6">
              <w:rPr>
                <w:rFonts w:ascii="Times New Roman CYR" w:hAnsi="Times New Roman CYR" w:cs="Times New Roman CYR"/>
                <w:i/>
                <w:sz w:val="18"/>
                <w:szCs w:val="18"/>
              </w:rPr>
              <w:t>Чаткальский</w:t>
            </w:r>
            <w:proofErr w:type="spellEnd"/>
            <w:r w:rsidRPr="00C44EE6">
              <w:rPr>
                <w:rFonts w:ascii="Times New Roman CYR" w:hAnsi="Times New Roman CYR" w:cs="Times New Roman CYR"/>
                <w:i/>
                <w:sz w:val="18"/>
                <w:szCs w:val="18"/>
              </w:rPr>
              <w:t xml:space="preserve"> район </w:t>
            </w:r>
          </w:p>
        </w:tc>
      </w:tr>
      <w:tr w:rsidR="00C44EE6" w:rsidRPr="00C44EE6" w14:paraId="0427C950" w14:textId="77777777" w:rsidTr="0037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73" w:type="dxa"/>
        </w:trPr>
        <w:tc>
          <w:tcPr>
            <w:tcW w:w="927" w:type="dxa"/>
            <w:tcBorders>
              <w:top w:val="nil"/>
              <w:left w:val="nil"/>
              <w:bottom w:val="nil"/>
              <w:right w:val="nil"/>
            </w:tcBorders>
            <w:vAlign w:val="bottom"/>
          </w:tcPr>
          <w:p w14:paraId="25E9DCF7" w14:textId="77777777" w:rsidR="00B42BBC" w:rsidRPr="00C44EE6" w:rsidRDefault="00B42BBC" w:rsidP="00B42BBC">
            <w:pPr>
              <w:rPr>
                <w:rFonts w:ascii="Times New Roman CYR" w:hAnsi="Times New Roman CYR" w:cs="Times New Roman CYR"/>
                <w:sz w:val="18"/>
                <w:szCs w:val="18"/>
              </w:rPr>
            </w:pPr>
            <w:proofErr w:type="spellStart"/>
            <w:r w:rsidRPr="00C44EE6">
              <w:rPr>
                <w:rFonts w:ascii="Times New Roman CYR" w:hAnsi="Times New Roman CYR" w:cs="Times New Roman CYR"/>
                <w:sz w:val="18"/>
                <w:szCs w:val="18"/>
              </w:rPr>
              <w:t>Жалал</w:t>
            </w:r>
            <w:proofErr w:type="spellEnd"/>
            <w:r w:rsidRPr="00C44EE6">
              <w:rPr>
                <w:rFonts w:ascii="Times New Roman CYR" w:hAnsi="Times New Roman CYR" w:cs="Times New Roman CYR"/>
                <w:sz w:val="18"/>
                <w:szCs w:val="18"/>
              </w:rPr>
              <w:t xml:space="preserve">-Абад </w:t>
            </w:r>
            <w:proofErr w:type="spellStart"/>
            <w:r w:rsidRPr="00C44EE6">
              <w:rPr>
                <w:rFonts w:ascii="Times New Roman CYR" w:hAnsi="Times New Roman CYR" w:cs="Times New Roman CYR"/>
                <w:sz w:val="18"/>
                <w:szCs w:val="18"/>
              </w:rPr>
              <w:t>шаары</w:t>
            </w:r>
            <w:proofErr w:type="spellEnd"/>
          </w:p>
        </w:tc>
        <w:tc>
          <w:tcPr>
            <w:tcW w:w="789" w:type="dxa"/>
            <w:tcBorders>
              <w:top w:val="nil"/>
              <w:left w:val="nil"/>
              <w:bottom w:val="nil"/>
              <w:right w:val="nil"/>
            </w:tcBorders>
            <w:vAlign w:val="bottom"/>
          </w:tcPr>
          <w:p w14:paraId="17CEB617" w14:textId="03AD3AF8"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1601</w:t>
            </w:r>
          </w:p>
        </w:tc>
        <w:tc>
          <w:tcPr>
            <w:tcW w:w="789" w:type="dxa"/>
            <w:tcBorders>
              <w:top w:val="nil"/>
              <w:left w:val="nil"/>
              <w:bottom w:val="nil"/>
              <w:right w:val="nil"/>
            </w:tcBorders>
            <w:vAlign w:val="bottom"/>
          </w:tcPr>
          <w:p w14:paraId="702C5955" w14:textId="27BBEEE6"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821</w:t>
            </w:r>
          </w:p>
        </w:tc>
        <w:tc>
          <w:tcPr>
            <w:tcW w:w="1879" w:type="dxa"/>
            <w:tcBorders>
              <w:top w:val="nil"/>
              <w:left w:val="nil"/>
              <w:bottom w:val="nil"/>
              <w:right w:val="nil"/>
            </w:tcBorders>
            <w:vAlign w:val="bottom"/>
          </w:tcPr>
          <w:p w14:paraId="706C0EEE" w14:textId="6FC8A6DF"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51,2</w:t>
            </w:r>
          </w:p>
        </w:tc>
        <w:tc>
          <w:tcPr>
            <w:tcW w:w="1905" w:type="dxa"/>
            <w:gridSpan w:val="4"/>
            <w:tcBorders>
              <w:top w:val="nil"/>
              <w:left w:val="nil"/>
              <w:bottom w:val="nil"/>
              <w:right w:val="nil"/>
            </w:tcBorders>
            <w:vAlign w:val="bottom"/>
          </w:tcPr>
          <w:p w14:paraId="7C85C6CE" w14:textId="7FB6B77D"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256</w:t>
            </w:r>
          </w:p>
        </w:tc>
        <w:tc>
          <w:tcPr>
            <w:tcW w:w="1370" w:type="dxa"/>
            <w:tcBorders>
              <w:top w:val="nil"/>
              <w:left w:val="nil"/>
              <w:bottom w:val="nil"/>
              <w:right w:val="nil"/>
            </w:tcBorders>
            <w:vAlign w:val="bottom"/>
          </w:tcPr>
          <w:p w14:paraId="3328C0E7" w14:textId="1FAA27A1"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117</w:t>
            </w:r>
          </w:p>
        </w:tc>
        <w:tc>
          <w:tcPr>
            <w:tcW w:w="2122" w:type="dxa"/>
            <w:tcBorders>
              <w:top w:val="nil"/>
              <w:left w:val="nil"/>
              <w:bottom w:val="nil"/>
              <w:right w:val="nil"/>
            </w:tcBorders>
            <w:vAlign w:val="bottom"/>
          </w:tcPr>
          <w:p w14:paraId="3D7D1F55" w14:textId="77777777" w:rsidR="00B42BBC" w:rsidRPr="00C44EE6" w:rsidRDefault="00B42BBC" w:rsidP="00B42BBC">
            <w:pPr>
              <w:rPr>
                <w:rFonts w:ascii="Times New Roman CYR" w:hAnsi="Times New Roman CYR" w:cs="Times New Roman CYR"/>
                <w:i/>
                <w:sz w:val="18"/>
                <w:szCs w:val="18"/>
              </w:rPr>
            </w:pPr>
            <w:r w:rsidRPr="00C44EE6">
              <w:rPr>
                <w:rFonts w:ascii="Times New Roman CYR" w:hAnsi="Times New Roman CYR" w:cs="Times New Roman CYR"/>
                <w:i/>
                <w:sz w:val="18"/>
                <w:szCs w:val="18"/>
              </w:rPr>
              <w:t xml:space="preserve">г. </w:t>
            </w:r>
            <w:r w:rsidRPr="00C44EE6">
              <w:rPr>
                <w:rFonts w:ascii="Times New Roman CYR" w:hAnsi="Times New Roman CYR" w:cs="Times New Roman CYR"/>
                <w:i/>
                <w:sz w:val="18"/>
                <w:szCs w:val="18"/>
                <w:lang w:val="ky-KG"/>
              </w:rPr>
              <w:t>Дж</w:t>
            </w:r>
            <w:r w:rsidRPr="00C44EE6">
              <w:rPr>
                <w:rFonts w:ascii="Times New Roman CYR" w:hAnsi="Times New Roman CYR" w:cs="Times New Roman CYR"/>
                <w:i/>
                <w:sz w:val="18"/>
                <w:szCs w:val="18"/>
              </w:rPr>
              <w:t>алал-Абад</w:t>
            </w:r>
          </w:p>
        </w:tc>
      </w:tr>
      <w:tr w:rsidR="00C44EE6" w:rsidRPr="00C44EE6" w14:paraId="4C4D5B6B" w14:textId="77777777" w:rsidTr="0037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73" w:type="dxa"/>
        </w:trPr>
        <w:tc>
          <w:tcPr>
            <w:tcW w:w="927" w:type="dxa"/>
            <w:tcBorders>
              <w:top w:val="nil"/>
              <w:left w:val="nil"/>
              <w:bottom w:val="nil"/>
              <w:right w:val="nil"/>
            </w:tcBorders>
            <w:vAlign w:val="bottom"/>
          </w:tcPr>
          <w:p w14:paraId="0562B5D8" w14:textId="77777777" w:rsidR="00B42BBC" w:rsidRPr="00C44EE6" w:rsidRDefault="00B42BBC" w:rsidP="00B42BBC">
            <w:pPr>
              <w:rPr>
                <w:rFonts w:ascii="Times New Roman CYR" w:hAnsi="Times New Roman CYR" w:cs="Times New Roman CYR"/>
                <w:sz w:val="18"/>
                <w:szCs w:val="18"/>
              </w:rPr>
            </w:pPr>
            <w:r w:rsidRPr="00C44EE6">
              <w:rPr>
                <w:rFonts w:ascii="Times New Roman CYR" w:hAnsi="Times New Roman CYR" w:cs="Times New Roman CYR"/>
                <w:sz w:val="18"/>
                <w:szCs w:val="18"/>
              </w:rPr>
              <w:t xml:space="preserve"> Кара-К</w:t>
            </w:r>
            <w:r w:rsidRPr="00C44EE6">
              <w:rPr>
                <w:rFonts w:ascii="Times New Roman CYR" w:hAnsi="Times New Roman CYR" w:cs="Times New Roman CYR"/>
                <w:sz w:val="18"/>
                <w:szCs w:val="18"/>
                <w:lang w:val="ky-KG"/>
              </w:rPr>
              <w:t>ө</w:t>
            </w:r>
            <w:r w:rsidRPr="00C44EE6">
              <w:rPr>
                <w:rFonts w:ascii="Times New Roman CYR" w:hAnsi="Times New Roman CYR" w:cs="Times New Roman CYR"/>
                <w:sz w:val="18"/>
                <w:szCs w:val="18"/>
              </w:rPr>
              <w:t xml:space="preserve">л </w:t>
            </w:r>
            <w:proofErr w:type="spellStart"/>
            <w:r w:rsidRPr="00C44EE6">
              <w:rPr>
                <w:rFonts w:ascii="Times New Roman CYR" w:hAnsi="Times New Roman CYR" w:cs="Times New Roman CYR"/>
                <w:sz w:val="18"/>
                <w:szCs w:val="18"/>
              </w:rPr>
              <w:t>шаары</w:t>
            </w:r>
            <w:proofErr w:type="spellEnd"/>
          </w:p>
        </w:tc>
        <w:tc>
          <w:tcPr>
            <w:tcW w:w="789" w:type="dxa"/>
            <w:tcBorders>
              <w:top w:val="nil"/>
              <w:left w:val="nil"/>
              <w:bottom w:val="nil"/>
              <w:right w:val="nil"/>
            </w:tcBorders>
            <w:vAlign w:val="bottom"/>
          </w:tcPr>
          <w:p w14:paraId="36E6C04A" w14:textId="5DBF10A5"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154</w:t>
            </w:r>
          </w:p>
        </w:tc>
        <w:tc>
          <w:tcPr>
            <w:tcW w:w="789" w:type="dxa"/>
            <w:tcBorders>
              <w:top w:val="nil"/>
              <w:left w:val="nil"/>
              <w:bottom w:val="nil"/>
              <w:right w:val="nil"/>
            </w:tcBorders>
            <w:vAlign w:val="bottom"/>
          </w:tcPr>
          <w:p w14:paraId="4D6B9FCA" w14:textId="05EE7CE3"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149</w:t>
            </w:r>
          </w:p>
        </w:tc>
        <w:tc>
          <w:tcPr>
            <w:tcW w:w="1879" w:type="dxa"/>
            <w:tcBorders>
              <w:top w:val="nil"/>
              <w:left w:val="nil"/>
              <w:bottom w:val="nil"/>
              <w:right w:val="nil"/>
            </w:tcBorders>
            <w:vAlign w:val="bottom"/>
          </w:tcPr>
          <w:p w14:paraId="34DDD81C" w14:textId="2939B601"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96,7</w:t>
            </w:r>
          </w:p>
        </w:tc>
        <w:tc>
          <w:tcPr>
            <w:tcW w:w="1905" w:type="dxa"/>
            <w:gridSpan w:val="4"/>
            <w:tcBorders>
              <w:top w:val="nil"/>
              <w:left w:val="nil"/>
              <w:bottom w:val="nil"/>
              <w:right w:val="nil"/>
            </w:tcBorders>
            <w:vAlign w:val="bottom"/>
          </w:tcPr>
          <w:p w14:paraId="3DB867D7" w14:textId="26081E47"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105</w:t>
            </w:r>
          </w:p>
        </w:tc>
        <w:tc>
          <w:tcPr>
            <w:tcW w:w="1370" w:type="dxa"/>
            <w:tcBorders>
              <w:top w:val="nil"/>
              <w:left w:val="nil"/>
              <w:bottom w:val="nil"/>
              <w:right w:val="nil"/>
            </w:tcBorders>
            <w:vAlign w:val="bottom"/>
          </w:tcPr>
          <w:p w14:paraId="66746963" w14:textId="207E626F"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61</w:t>
            </w:r>
          </w:p>
        </w:tc>
        <w:tc>
          <w:tcPr>
            <w:tcW w:w="2122" w:type="dxa"/>
            <w:tcBorders>
              <w:top w:val="nil"/>
              <w:left w:val="nil"/>
              <w:bottom w:val="nil"/>
              <w:right w:val="nil"/>
            </w:tcBorders>
            <w:vAlign w:val="bottom"/>
          </w:tcPr>
          <w:p w14:paraId="1AFBE358" w14:textId="77777777" w:rsidR="00B42BBC" w:rsidRPr="00C44EE6" w:rsidRDefault="00B42BBC" w:rsidP="00B42BBC">
            <w:pPr>
              <w:rPr>
                <w:rFonts w:ascii="Times New Roman CYR" w:hAnsi="Times New Roman CYR" w:cs="Times New Roman CYR"/>
                <w:i/>
                <w:sz w:val="18"/>
                <w:szCs w:val="18"/>
              </w:rPr>
            </w:pPr>
            <w:r w:rsidRPr="00C44EE6">
              <w:rPr>
                <w:rFonts w:ascii="Times New Roman CYR" w:hAnsi="Times New Roman CYR" w:cs="Times New Roman CYR"/>
                <w:i/>
                <w:sz w:val="18"/>
                <w:szCs w:val="18"/>
              </w:rPr>
              <w:t>г. Кара-Куль</w:t>
            </w:r>
          </w:p>
        </w:tc>
      </w:tr>
      <w:tr w:rsidR="00C44EE6" w:rsidRPr="00C44EE6" w14:paraId="2B5A817E" w14:textId="77777777" w:rsidTr="0037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73" w:type="dxa"/>
        </w:trPr>
        <w:tc>
          <w:tcPr>
            <w:tcW w:w="927" w:type="dxa"/>
            <w:tcBorders>
              <w:top w:val="nil"/>
              <w:left w:val="nil"/>
              <w:bottom w:val="nil"/>
              <w:right w:val="nil"/>
            </w:tcBorders>
            <w:vAlign w:val="bottom"/>
          </w:tcPr>
          <w:p w14:paraId="4EB8F767" w14:textId="77777777" w:rsidR="00B42BBC" w:rsidRPr="00C44EE6" w:rsidRDefault="00B42BBC" w:rsidP="00B42BBC">
            <w:pPr>
              <w:rPr>
                <w:rFonts w:ascii="Times New Roman CYR" w:hAnsi="Times New Roman CYR" w:cs="Times New Roman CYR"/>
                <w:sz w:val="18"/>
                <w:szCs w:val="18"/>
              </w:rPr>
            </w:pPr>
            <w:proofErr w:type="spellStart"/>
            <w:r w:rsidRPr="00C44EE6">
              <w:rPr>
                <w:rFonts w:ascii="Times New Roman CYR" w:hAnsi="Times New Roman CYR" w:cs="Times New Roman CYR"/>
                <w:sz w:val="18"/>
                <w:szCs w:val="18"/>
              </w:rPr>
              <w:t>Майлуу-Суу</w:t>
            </w:r>
            <w:proofErr w:type="spellEnd"/>
            <w:r w:rsidRPr="00C44EE6">
              <w:rPr>
                <w:rFonts w:ascii="Times New Roman CYR" w:hAnsi="Times New Roman CYR" w:cs="Times New Roman CYR"/>
                <w:sz w:val="18"/>
                <w:szCs w:val="18"/>
              </w:rPr>
              <w:t xml:space="preserve"> </w:t>
            </w:r>
            <w:proofErr w:type="spellStart"/>
            <w:r w:rsidRPr="00C44EE6">
              <w:rPr>
                <w:rFonts w:ascii="Times New Roman CYR" w:hAnsi="Times New Roman CYR" w:cs="Times New Roman CYR"/>
                <w:sz w:val="18"/>
                <w:szCs w:val="18"/>
              </w:rPr>
              <w:t>шаары</w:t>
            </w:r>
            <w:proofErr w:type="spellEnd"/>
          </w:p>
        </w:tc>
        <w:tc>
          <w:tcPr>
            <w:tcW w:w="789" w:type="dxa"/>
            <w:tcBorders>
              <w:top w:val="nil"/>
              <w:left w:val="nil"/>
              <w:bottom w:val="nil"/>
              <w:right w:val="nil"/>
            </w:tcBorders>
            <w:vAlign w:val="bottom"/>
          </w:tcPr>
          <w:p w14:paraId="28F81AF6" w14:textId="2B931198"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672</w:t>
            </w:r>
          </w:p>
        </w:tc>
        <w:tc>
          <w:tcPr>
            <w:tcW w:w="789" w:type="dxa"/>
            <w:tcBorders>
              <w:top w:val="nil"/>
              <w:left w:val="nil"/>
              <w:bottom w:val="nil"/>
              <w:right w:val="nil"/>
            </w:tcBorders>
            <w:vAlign w:val="bottom"/>
          </w:tcPr>
          <w:p w14:paraId="512F2276" w14:textId="4416C2D2"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588</w:t>
            </w:r>
          </w:p>
        </w:tc>
        <w:tc>
          <w:tcPr>
            <w:tcW w:w="1879" w:type="dxa"/>
            <w:tcBorders>
              <w:top w:val="nil"/>
              <w:left w:val="nil"/>
              <w:bottom w:val="nil"/>
              <w:right w:val="nil"/>
            </w:tcBorders>
            <w:vAlign w:val="bottom"/>
          </w:tcPr>
          <w:p w14:paraId="1849F391" w14:textId="383CBA85"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87,5</w:t>
            </w:r>
          </w:p>
        </w:tc>
        <w:tc>
          <w:tcPr>
            <w:tcW w:w="1905" w:type="dxa"/>
            <w:gridSpan w:val="4"/>
            <w:tcBorders>
              <w:top w:val="nil"/>
              <w:left w:val="nil"/>
              <w:bottom w:val="nil"/>
              <w:right w:val="nil"/>
            </w:tcBorders>
            <w:vAlign w:val="bottom"/>
          </w:tcPr>
          <w:p w14:paraId="6811CE53" w14:textId="0CCC5E0E"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584</w:t>
            </w:r>
          </w:p>
        </w:tc>
        <w:tc>
          <w:tcPr>
            <w:tcW w:w="1370" w:type="dxa"/>
            <w:tcBorders>
              <w:top w:val="nil"/>
              <w:left w:val="nil"/>
              <w:bottom w:val="nil"/>
              <w:right w:val="nil"/>
            </w:tcBorders>
            <w:vAlign w:val="bottom"/>
          </w:tcPr>
          <w:p w14:paraId="0E253F64" w14:textId="1740FB7B"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310</w:t>
            </w:r>
          </w:p>
        </w:tc>
        <w:tc>
          <w:tcPr>
            <w:tcW w:w="2122" w:type="dxa"/>
            <w:tcBorders>
              <w:top w:val="nil"/>
              <w:left w:val="nil"/>
              <w:bottom w:val="nil"/>
              <w:right w:val="nil"/>
            </w:tcBorders>
            <w:vAlign w:val="bottom"/>
          </w:tcPr>
          <w:p w14:paraId="45FD8EC2" w14:textId="77777777" w:rsidR="00B42BBC" w:rsidRPr="00C44EE6" w:rsidRDefault="00B42BBC" w:rsidP="00B42BBC">
            <w:pPr>
              <w:rPr>
                <w:rFonts w:ascii="Times New Roman CYR" w:hAnsi="Times New Roman CYR" w:cs="Times New Roman CYR"/>
                <w:i/>
                <w:sz w:val="18"/>
                <w:szCs w:val="18"/>
              </w:rPr>
            </w:pPr>
            <w:proofErr w:type="spellStart"/>
            <w:r w:rsidRPr="00C44EE6">
              <w:rPr>
                <w:rFonts w:ascii="Times New Roman CYR" w:hAnsi="Times New Roman CYR" w:cs="Times New Roman CYR"/>
                <w:i/>
                <w:sz w:val="18"/>
                <w:szCs w:val="18"/>
              </w:rPr>
              <w:t>г.Майлуу-Суу</w:t>
            </w:r>
            <w:proofErr w:type="spellEnd"/>
          </w:p>
        </w:tc>
      </w:tr>
      <w:tr w:rsidR="00B42BBC" w:rsidRPr="00C44EE6" w14:paraId="211BF155" w14:textId="77777777" w:rsidTr="003722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73" w:type="dxa"/>
        </w:trPr>
        <w:tc>
          <w:tcPr>
            <w:tcW w:w="927" w:type="dxa"/>
            <w:tcBorders>
              <w:top w:val="nil"/>
              <w:left w:val="nil"/>
              <w:bottom w:val="single" w:sz="4" w:space="0" w:color="auto"/>
              <w:right w:val="nil"/>
            </w:tcBorders>
            <w:vAlign w:val="bottom"/>
          </w:tcPr>
          <w:p w14:paraId="4A269085" w14:textId="77777777" w:rsidR="00B42BBC" w:rsidRPr="00C44EE6" w:rsidRDefault="00B42BBC" w:rsidP="00B42BBC">
            <w:pPr>
              <w:rPr>
                <w:rFonts w:ascii="Times New Roman CYR" w:hAnsi="Times New Roman CYR" w:cs="Times New Roman CYR"/>
                <w:sz w:val="18"/>
                <w:szCs w:val="18"/>
              </w:rPr>
            </w:pPr>
            <w:r w:rsidRPr="00C44EE6">
              <w:rPr>
                <w:rFonts w:ascii="Times New Roman CYR" w:hAnsi="Times New Roman CYR" w:cs="Times New Roman CYR"/>
                <w:sz w:val="18"/>
                <w:szCs w:val="18"/>
              </w:rPr>
              <w:t>Таш-К</w:t>
            </w:r>
            <w:r w:rsidRPr="00C44EE6">
              <w:rPr>
                <w:rFonts w:ascii="Times New Roman CYR" w:hAnsi="Times New Roman CYR" w:cs="Times New Roman CYR"/>
                <w:sz w:val="18"/>
                <w:szCs w:val="18"/>
                <w:lang w:val="ky-KG"/>
              </w:rPr>
              <w:t>ө</w:t>
            </w:r>
            <w:r w:rsidRPr="00C44EE6">
              <w:rPr>
                <w:rFonts w:ascii="Times New Roman CYR" w:hAnsi="Times New Roman CYR" w:cs="Times New Roman CYR"/>
                <w:sz w:val="18"/>
                <w:szCs w:val="18"/>
              </w:rPr>
              <w:t>м</w:t>
            </w:r>
            <w:r w:rsidRPr="00C44EE6">
              <w:rPr>
                <w:rFonts w:ascii="Times New Roman CYR" w:hAnsi="Times New Roman CYR" w:cs="Times New Roman CYR"/>
                <w:sz w:val="18"/>
                <w:szCs w:val="18"/>
                <w:lang w:val="ky-KG"/>
              </w:rPr>
              <w:t>ү</w:t>
            </w:r>
            <w:r w:rsidRPr="00C44EE6">
              <w:rPr>
                <w:rFonts w:ascii="Times New Roman CYR" w:hAnsi="Times New Roman CYR" w:cs="Times New Roman CYR"/>
                <w:sz w:val="18"/>
                <w:szCs w:val="18"/>
              </w:rPr>
              <w:t xml:space="preserve">р </w:t>
            </w:r>
            <w:proofErr w:type="spellStart"/>
            <w:r w:rsidRPr="00C44EE6">
              <w:rPr>
                <w:rFonts w:ascii="Times New Roman CYR" w:hAnsi="Times New Roman CYR" w:cs="Times New Roman CYR"/>
                <w:sz w:val="18"/>
                <w:szCs w:val="18"/>
              </w:rPr>
              <w:t>шаары</w:t>
            </w:r>
            <w:proofErr w:type="spellEnd"/>
          </w:p>
        </w:tc>
        <w:tc>
          <w:tcPr>
            <w:tcW w:w="789" w:type="dxa"/>
            <w:tcBorders>
              <w:top w:val="nil"/>
              <w:left w:val="nil"/>
              <w:bottom w:val="single" w:sz="4" w:space="0" w:color="auto"/>
              <w:right w:val="nil"/>
            </w:tcBorders>
            <w:vAlign w:val="bottom"/>
          </w:tcPr>
          <w:p w14:paraId="44831EAD" w14:textId="32FC6098"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624</w:t>
            </w:r>
          </w:p>
        </w:tc>
        <w:tc>
          <w:tcPr>
            <w:tcW w:w="789" w:type="dxa"/>
            <w:tcBorders>
              <w:top w:val="nil"/>
              <w:left w:val="nil"/>
              <w:bottom w:val="single" w:sz="4" w:space="0" w:color="auto"/>
              <w:right w:val="nil"/>
            </w:tcBorders>
            <w:vAlign w:val="bottom"/>
          </w:tcPr>
          <w:p w14:paraId="753C9CF3" w14:textId="171288EE"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362</w:t>
            </w:r>
          </w:p>
        </w:tc>
        <w:tc>
          <w:tcPr>
            <w:tcW w:w="1879" w:type="dxa"/>
            <w:tcBorders>
              <w:top w:val="nil"/>
              <w:left w:val="nil"/>
              <w:bottom w:val="single" w:sz="4" w:space="0" w:color="auto"/>
              <w:right w:val="nil"/>
            </w:tcBorders>
            <w:vAlign w:val="bottom"/>
          </w:tcPr>
          <w:p w14:paraId="315E08C5" w14:textId="3D1BC08B"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58,0</w:t>
            </w:r>
          </w:p>
        </w:tc>
        <w:tc>
          <w:tcPr>
            <w:tcW w:w="1905" w:type="dxa"/>
            <w:gridSpan w:val="4"/>
            <w:tcBorders>
              <w:top w:val="nil"/>
              <w:left w:val="nil"/>
              <w:bottom w:val="single" w:sz="4" w:space="0" w:color="auto"/>
              <w:right w:val="nil"/>
            </w:tcBorders>
            <w:vAlign w:val="bottom"/>
          </w:tcPr>
          <w:p w14:paraId="7F833605" w14:textId="6CB6632B"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323</w:t>
            </w:r>
          </w:p>
        </w:tc>
        <w:tc>
          <w:tcPr>
            <w:tcW w:w="1370" w:type="dxa"/>
            <w:tcBorders>
              <w:top w:val="nil"/>
              <w:left w:val="nil"/>
              <w:bottom w:val="single" w:sz="4" w:space="0" w:color="auto"/>
              <w:right w:val="nil"/>
            </w:tcBorders>
            <w:vAlign w:val="bottom"/>
          </w:tcPr>
          <w:p w14:paraId="67BC5074" w14:textId="2C075E2F" w:rsidR="00B42BBC" w:rsidRPr="00C44EE6" w:rsidRDefault="00B42BBC" w:rsidP="00B42BBC">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113</w:t>
            </w:r>
          </w:p>
        </w:tc>
        <w:tc>
          <w:tcPr>
            <w:tcW w:w="2122" w:type="dxa"/>
            <w:tcBorders>
              <w:top w:val="nil"/>
              <w:left w:val="nil"/>
              <w:bottom w:val="single" w:sz="4" w:space="0" w:color="auto"/>
              <w:right w:val="nil"/>
            </w:tcBorders>
            <w:vAlign w:val="bottom"/>
          </w:tcPr>
          <w:p w14:paraId="3E676F0C" w14:textId="77777777" w:rsidR="00B42BBC" w:rsidRPr="00C44EE6" w:rsidRDefault="00B42BBC" w:rsidP="00B42BBC">
            <w:pPr>
              <w:rPr>
                <w:rFonts w:ascii="Times New Roman CYR" w:hAnsi="Times New Roman CYR" w:cs="Times New Roman CYR"/>
                <w:i/>
                <w:sz w:val="18"/>
                <w:szCs w:val="18"/>
              </w:rPr>
            </w:pPr>
            <w:proofErr w:type="spellStart"/>
            <w:r w:rsidRPr="00C44EE6">
              <w:rPr>
                <w:rFonts w:ascii="Times New Roman CYR" w:hAnsi="Times New Roman CYR" w:cs="Times New Roman CYR"/>
                <w:i/>
                <w:sz w:val="18"/>
                <w:szCs w:val="18"/>
              </w:rPr>
              <w:t>г.Таш-Кумыр</w:t>
            </w:r>
            <w:proofErr w:type="spellEnd"/>
          </w:p>
        </w:tc>
      </w:tr>
    </w:tbl>
    <w:p w14:paraId="480618C7" w14:textId="77777777" w:rsidR="00936879" w:rsidRPr="00C44EE6" w:rsidRDefault="00936879" w:rsidP="00936879"/>
    <w:tbl>
      <w:tblPr>
        <w:tblW w:w="9815" w:type="dxa"/>
        <w:tblInd w:w="250" w:type="dxa"/>
        <w:tblLook w:val="04A0" w:firstRow="1" w:lastRow="0" w:firstColumn="1" w:lastColumn="0" w:noHBand="0" w:noVBand="1"/>
      </w:tblPr>
      <w:tblGrid>
        <w:gridCol w:w="4570"/>
        <w:gridCol w:w="5245"/>
      </w:tblGrid>
      <w:tr w:rsidR="00936879" w:rsidRPr="00C44EE6" w14:paraId="30FBAC0B" w14:textId="77777777" w:rsidTr="00372228">
        <w:trPr>
          <w:trHeight w:val="2360"/>
        </w:trPr>
        <w:tc>
          <w:tcPr>
            <w:tcW w:w="4570" w:type="dxa"/>
          </w:tcPr>
          <w:p w14:paraId="2CF16E66" w14:textId="0BD9FF6B" w:rsidR="00936879" w:rsidRPr="00C44EE6" w:rsidRDefault="00936879" w:rsidP="004D68D3">
            <w:pPr>
              <w:jc w:val="both"/>
              <w:rPr>
                <w:sz w:val="24"/>
                <w:lang w:val="ky-KG"/>
              </w:rPr>
            </w:pPr>
            <w:r w:rsidRPr="00C44EE6">
              <w:rPr>
                <w:sz w:val="24"/>
                <w:lang w:val="ky-KG"/>
              </w:rPr>
              <w:t xml:space="preserve">     </w:t>
            </w:r>
            <w:r w:rsidR="00720C02" w:rsidRPr="00C44EE6">
              <w:rPr>
                <w:sz w:val="24"/>
                <w:lang w:val="ky-KG"/>
              </w:rPr>
              <w:t>Э</w:t>
            </w:r>
            <w:r w:rsidR="00720C02" w:rsidRPr="00C44EE6">
              <w:rPr>
                <w:sz w:val="24"/>
              </w:rPr>
              <w:t xml:space="preserve">ң </w:t>
            </w:r>
            <w:r w:rsidR="00720C02" w:rsidRPr="00C44EE6">
              <w:rPr>
                <w:sz w:val="24"/>
                <w:lang w:val="ky-KG"/>
              </w:rPr>
              <w:t>аз</w:t>
            </w:r>
            <w:r w:rsidR="00720C02" w:rsidRPr="00C44EE6">
              <w:rPr>
                <w:sz w:val="24"/>
              </w:rPr>
              <w:t xml:space="preserve"> </w:t>
            </w:r>
            <w:proofErr w:type="spellStart"/>
            <w:r w:rsidR="00720C02" w:rsidRPr="00C44EE6">
              <w:rPr>
                <w:sz w:val="24"/>
              </w:rPr>
              <w:t>корголуучу</w:t>
            </w:r>
            <w:proofErr w:type="spellEnd"/>
            <w:r w:rsidR="00720C02" w:rsidRPr="00C44EE6">
              <w:rPr>
                <w:sz w:val="24"/>
              </w:rPr>
              <w:t xml:space="preserve"> </w:t>
            </w:r>
            <w:proofErr w:type="spellStart"/>
            <w:r w:rsidR="00720C02" w:rsidRPr="00C44EE6">
              <w:rPr>
                <w:sz w:val="24"/>
              </w:rPr>
              <w:t>эмгек</w:t>
            </w:r>
            <w:proofErr w:type="spellEnd"/>
            <w:r w:rsidR="00720C02" w:rsidRPr="00C44EE6">
              <w:rPr>
                <w:sz w:val="24"/>
              </w:rPr>
              <w:t xml:space="preserve"> </w:t>
            </w:r>
            <w:proofErr w:type="spellStart"/>
            <w:r w:rsidR="00720C02" w:rsidRPr="00C44EE6">
              <w:rPr>
                <w:sz w:val="24"/>
              </w:rPr>
              <w:t>рыногу</w:t>
            </w:r>
            <w:proofErr w:type="spellEnd"/>
            <w:r w:rsidR="00720C02" w:rsidRPr="00C44EE6">
              <w:rPr>
                <w:sz w:val="24"/>
              </w:rPr>
              <w:t xml:space="preserve"> </w:t>
            </w:r>
            <w:r w:rsidR="00720C02" w:rsidRPr="00C44EE6">
              <w:rPr>
                <w:sz w:val="24"/>
                <w:lang w:val="ky-KG"/>
              </w:rPr>
              <w:t xml:space="preserve">аялдар болуп саналат. Жалпы жумушсуздук статусун алгандардын саны, </w:t>
            </w:r>
            <w:r w:rsidR="00720C02" w:rsidRPr="00C44EE6">
              <w:rPr>
                <w:rFonts w:ascii="Times New Roman UniToktom" w:hAnsi="Times New Roman UniToktom" w:cs="Times New Roman UniToktom"/>
                <w:sz w:val="24"/>
                <w:szCs w:val="24"/>
                <w:lang w:val="ky-KG"/>
              </w:rPr>
              <w:t>2024-жылдын   аягына карата жумуш издеп, мамлекеттик иш менен камсыз кылуу органдарында катталган жумушсуз калктын  санынын 26,4 пайызын аялдар (4862 адамды) түзгөн</w:t>
            </w:r>
            <w:r w:rsidRPr="00C44EE6">
              <w:rPr>
                <w:rFonts w:ascii="Times New Roman UniToktom" w:hAnsi="Times New Roman UniToktom" w:cs="Times New Roman UniToktom"/>
                <w:sz w:val="24"/>
                <w:szCs w:val="24"/>
                <w:lang w:val="ky-KG"/>
              </w:rPr>
              <w:t xml:space="preserve">. </w:t>
            </w:r>
          </w:p>
        </w:tc>
        <w:tc>
          <w:tcPr>
            <w:tcW w:w="5245" w:type="dxa"/>
          </w:tcPr>
          <w:p w14:paraId="35B9BD01" w14:textId="77777777" w:rsidR="00720C02" w:rsidRPr="00C44EE6" w:rsidRDefault="00936879" w:rsidP="00720C02">
            <w:pPr>
              <w:jc w:val="both"/>
              <w:rPr>
                <w:i/>
                <w:sz w:val="24"/>
                <w:lang w:val="ky-KG"/>
              </w:rPr>
            </w:pPr>
            <w:r w:rsidRPr="00C44EE6">
              <w:rPr>
                <w:i/>
                <w:sz w:val="24"/>
                <w:lang w:val="ky-KG"/>
              </w:rPr>
              <w:t xml:space="preserve">     </w:t>
            </w:r>
            <w:r w:rsidR="00720C02" w:rsidRPr="00C44EE6">
              <w:rPr>
                <w:i/>
                <w:sz w:val="24"/>
              </w:rPr>
              <w:t xml:space="preserve">По-прежнему, наименее защищенной на рынке труда </w:t>
            </w:r>
            <w:proofErr w:type="spellStart"/>
            <w:r w:rsidR="00720C02" w:rsidRPr="00C44EE6">
              <w:rPr>
                <w:i/>
                <w:sz w:val="24"/>
              </w:rPr>
              <w:t>явля</w:t>
            </w:r>
            <w:proofErr w:type="spellEnd"/>
            <w:r w:rsidR="00720C02" w:rsidRPr="00C44EE6">
              <w:rPr>
                <w:i/>
                <w:sz w:val="24"/>
                <w:lang w:val="ky-KG"/>
              </w:rPr>
              <w:t>ю</w:t>
            </w:r>
            <w:proofErr w:type="spellStart"/>
            <w:r w:rsidR="00720C02" w:rsidRPr="00C44EE6">
              <w:rPr>
                <w:i/>
                <w:sz w:val="24"/>
              </w:rPr>
              <w:t>тся</w:t>
            </w:r>
            <w:proofErr w:type="spellEnd"/>
            <w:r w:rsidR="00720C02" w:rsidRPr="00C44EE6">
              <w:rPr>
                <w:i/>
                <w:sz w:val="24"/>
              </w:rPr>
              <w:t xml:space="preserve"> женщин</w:t>
            </w:r>
            <w:r w:rsidR="00720C02" w:rsidRPr="00C44EE6">
              <w:rPr>
                <w:i/>
                <w:sz w:val="24"/>
                <w:lang w:val="ky-KG"/>
              </w:rPr>
              <w:t>ы</w:t>
            </w:r>
            <w:r w:rsidR="00720C02" w:rsidRPr="00C44EE6">
              <w:rPr>
                <w:i/>
                <w:sz w:val="24"/>
              </w:rPr>
              <w:t xml:space="preserve">. Из общего числа </w:t>
            </w:r>
            <w:r w:rsidR="00720C02" w:rsidRPr="00C44EE6">
              <w:rPr>
                <w:i/>
                <w:sz w:val="24"/>
                <w:lang w:val="ky-KG"/>
              </w:rPr>
              <w:t>официально зарегистрированных безработных</w:t>
            </w:r>
            <w:r w:rsidR="00720C02" w:rsidRPr="00C44EE6">
              <w:rPr>
                <w:i/>
                <w:sz w:val="24"/>
              </w:rPr>
              <w:t>, обратившихся в службы занятости в поисках работы на</w:t>
            </w:r>
            <w:r w:rsidR="00720C02" w:rsidRPr="00C44EE6">
              <w:rPr>
                <w:i/>
                <w:sz w:val="24"/>
                <w:lang w:val="ky-KG"/>
              </w:rPr>
              <w:t xml:space="preserve"> конец</w:t>
            </w:r>
            <w:r w:rsidR="00720C02" w:rsidRPr="00C44EE6">
              <w:rPr>
                <w:i/>
                <w:sz w:val="24"/>
              </w:rPr>
              <w:t xml:space="preserve"> 20</w:t>
            </w:r>
            <w:r w:rsidR="00720C02" w:rsidRPr="00C44EE6">
              <w:rPr>
                <w:i/>
                <w:sz w:val="24"/>
                <w:lang w:val="ky-KG"/>
              </w:rPr>
              <w:t xml:space="preserve">24 </w:t>
            </w:r>
            <w:r w:rsidR="00720C02" w:rsidRPr="00C44EE6">
              <w:rPr>
                <w:i/>
                <w:sz w:val="24"/>
              </w:rPr>
              <w:t xml:space="preserve">года </w:t>
            </w:r>
            <w:proofErr w:type="gramStart"/>
            <w:r w:rsidR="00720C02" w:rsidRPr="00C44EE6">
              <w:rPr>
                <w:i/>
                <w:sz w:val="24"/>
              </w:rPr>
              <w:t>женщины</w:t>
            </w:r>
            <w:proofErr w:type="gramEnd"/>
            <w:r w:rsidR="00720C02" w:rsidRPr="00C44EE6">
              <w:rPr>
                <w:i/>
                <w:sz w:val="24"/>
              </w:rPr>
              <w:t xml:space="preserve"> составили </w:t>
            </w:r>
            <w:r w:rsidR="00720C02" w:rsidRPr="00C44EE6">
              <w:rPr>
                <w:i/>
                <w:sz w:val="24"/>
                <w:lang w:val="ky-KG"/>
              </w:rPr>
              <w:t>26,4</w:t>
            </w:r>
            <w:r w:rsidR="00720C02" w:rsidRPr="00C44EE6">
              <w:rPr>
                <w:i/>
                <w:sz w:val="24"/>
              </w:rPr>
              <w:t xml:space="preserve"> </w:t>
            </w:r>
            <w:proofErr w:type="gramStart"/>
            <w:r w:rsidR="00720C02" w:rsidRPr="00C44EE6">
              <w:rPr>
                <w:i/>
                <w:sz w:val="24"/>
                <w:lang w:val="ky-KG"/>
              </w:rPr>
              <w:t xml:space="preserve">%  </w:t>
            </w:r>
            <w:r w:rsidR="00720C02" w:rsidRPr="00C44EE6">
              <w:rPr>
                <w:i/>
                <w:sz w:val="24"/>
              </w:rPr>
              <w:t>(</w:t>
            </w:r>
            <w:proofErr w:type="gramEnd"/>
            <w:r w:rsidR="00720C02" w:rsidRPr="00C44EE6">
              <w:rPr>
                <w:i/>
                <w:sz w:val="24"/>
              </w:rPr>
              <w:t>48</w:t>
            </w:r>
            <w:r w:rsidR="00720C02" w:rsidRPr="00C44EE6">
              <w:rPr>
                <w:i/>
                <w:sz w:val="24"/>
                <w:lang w:val="ky-KG"/>
              </w:rPr>
              <w:t xml:space="preserve">62 </w:t>
            </w:r>
            <w:r w:rsidR="00720C02" w:rsidRPr="00C44EE6">
              <w:rPr>
                <w:i/>
                <w:sz w:val="24"/>
              </w:rPr>
              <w:t>человек).</w:t>
            </w:r>
          </w:p>
          <w:p w14:paraId="3955F097" w14:textId="7AC6265F" w:rsidR="00936879" w:rsidRPr="00C44EE6" w:rsidRDefault="00936879" w:rsidP="00720C02">
            <w:pPr>
              <w:jc w:val="both"/>
              <w:rPr>
                <w:i/>
                <w:sz w:val="24"/>
                <w:lang w:val="ky-KG"/>
              </w:rPr>
            </w:pPr>
            <w:r w:rsidRPr="00C44EE6">
              <w:rPr>
                <w:i/>
                <w:sz w:val="24"/>
                <w:lang w:val="ky-KG"/>
              </w:rPr>
              <w:t xml:space="preserve"> </w:t>
            </w:r>
          </w:p>
        </w:tc>
      </w:tr>
    </w:tbl>
    <w:p w14:paraId="4203FE02" w14:textId="77777777" w:rsidR="00936879" w:rsidRPr="00C44EE6" w:rsidRDefault="00936879" w:rsidP="00936879">
      <w:pPr>
        <w:rPr>
          <w:sz w:val="10"/>
          <w:szCs w:val="10"/>
          <w:lang w:val="ky-KG"/>
        </w:rPr>
      </w:pPr>
    </w:p>
    <w:p w14:paraId="0EC31EE5" w14:textId="77777777" w:rsidR="005D7B0D" w:rsidRPr="00C44EE6" w:rsidRDefault="005D7B0D" w:rsidP="00936879">
      <w:pPr>
        <w:rPr>
          <w:sz w:val="10"/>
          <w:szCs w:val="10"/>
          <w:lang w:val="ky-KG"/>
        </w:rPr>
      </w:pPr>
    </w:p>
    <w:p w14:paraId="7C0055BB" w14:textId="77777777" w:rsidR="005D7B0D" w:rsidRPr="00C44EE6" w:rsidRDefault="005D7B0D" w:rsidP="00936879">
      <w:pPr>
        <w:rPr>
          <w:sz w:val="10"/>
          <w:szCs w:val="10"/>
          <w:lang w:val="ky-KG"/>
        </w:rPr>
      </w:pPr>
    </w:p>
    <w:p w14:paraId="139695D9" w14:textId="77777777" w:rsidR="005D7B0D" w:rsidRPr="00C44EE6" w:rsidRDefault="005D7B0D" w:rsidP="00936879">
      <w:pPr>
        <w:rPr>
          <w:sz w:val="10"/>
          <w:szCs w:val="10"/>
          <w:lang w:val="ky-KG"/>
        </w:rPr>
      </w:pPr>
    </w:p>
    <w:p w14:paraId="2E346EAA" w14:textId="77777777" w:rsidR="00936879" w:rsidRPr="00C44EE6" w:rsidRDefault="00936879" w:rsidP="00936879">
      <w:pPr>
        <w:ind w:firstLine="708"/>
        <w:jc w:val="both"/>
        <w:rPr>
          <w:sz w:val="10"/>
          <w:szCs w:val="10"/>
          <w:lang w:val="ky-KG"/>
        </w:rPr>
      </w:pPr>
    </w:p>
    <w:tbl>
      <w:tblPr>
        <w:tblW w:w="9815" w:type="dxa"/>
        <w:tblInd w:w="250" w:type="dxa"/>
        <w:tblLook w:val="04A0" w:firstRow="1" w:lastRow="0" w:firstColumn="1" w:lastColumn="0" w:noHBand="0" w:noVBand="1"/>
      </w:tblPr>
      <w:tblGrid>
        <w:gridCol w:w="4677"/>
        <w:gridCol w:w="5138"/>
      </w:tblGrid>
      <w:tr w:rsidR="00936879" w:rsidRPr="00C44EE6" w14:paraId="30C176BB" w14:textId="77777777" w:rsidTr="00372228">
        <w:tc>
          <w:tcPr>
            <w:tcW w:w="4677" w:type="dxa"/>
          </w:tcPr>
          <w:p w14:paraId="50986A15" w14:textId="77777777" w:rsidR="00720C02" w:rsidRPr="00C44EE6" w:rsidRDefault="00720C02" w:rsidP="00720C02">
            <w:pPr>
              <w:pStyle w:val="a8"/>
              <w:spacing w:after="0"/>
              <w:ind w:left="0" w:hanging="20"/>
              <w:jc w:val="center"/>
              <w:rPr>
                <w:rFonts w:ascii="Times New Roman UniToktom" w:hAnsi="Times New Roman UniToktom" w:cs="Times New Roman UniToktom"/>
                <w:b/>
                <w:sz w:val="24"/>
                <w:szCs w:val="24"/>
                <w:lang w:val="ky-KG"/>
              </w:rPr>
            </w:pPr>
            <w:r w:rsidRPr="00C44EE6">
              <w:rPr>
                <w:b/>
                <w:sz w:val="24"/>
                <w:szCs w:val="24"/>
                <w:lang w:val="ky-KG"/>
              </w:rPr>
              <w:t>Э</w:t>
            </w:r>
            <w:r w:rsidRPr="00C44EE6">
              <w:rPr>
                <w:rFonts w:ascii="Times New Roman UniToktom" w:hAnsi="Times New Roman UniToktom" w:cs="Times New Roman UniToktom"/>
                <w:b/>
                <w:sz w:val="24"/>
                <w:szCs w:val="24"/>
                <w:lang w:val="ky-KG"/>
              </w:rPr>
              <w:t>мгек жана социалдык өнүгүү башкармалыгында аймактар боюнча  расмий катталган  жумушсуз калктын  саны</w:t>
            </w:r>
          </w:p>
          <w:p w14:paraId="36076CA9" w14:textId="63DB79BD" w:rsidR="00936879" w:rsidRPr="00C44EE6" w:rsidRDefault="00720C02" w:rsidP="00720C02">
            <w:pPr>
              <w:pStyle w:val="a8"/>
              <w:spacing w:after="0"/>
              <w:ind w:left="0" w:hanging="20"/>
              <w:jc w:val="center"/>
              <w:rPr>
                <w:b/>
                <w:sz w:val="24"/>
                <w:szCs w:val="24"/>
              </w:rPr>
            </w:pPr>
            <w:r w:rsidRPr="00C44EE6">
              <w:rPr>
                <w:iCs/>
                <w:sz w:val="24"/>
                <w:szCs w:val="24"/>
                <w:lang w:val="ky-KG"/>
              </w:rPr>
              <w:t>(жыйынтыкка карата пайыз менен)</w:t>
            </w:r>
          </w:p>
        </w:tc>
        <w:tc>
          <w:tcPr>
            <w:tcW w:w="5138" w:type="dxa"/>
          </w:tcPr>
          <w:p w14:paraId="5504CD19" w14:textId="77777777" w:rsidR="00720C02" w:rsidRPr="00C44EE6" w:rsidRDefault="00720C02" w:rsidP="00720C02">
            <w:pPr>
              <w:pStyle w:val="a8"/>
              <w:spacing w:after="0"/>
              <w:ind w:left="0" w:hanging="20"/>
              <w:jc w:val="center"/>
              <w:rPr>
                <w:b/>
                <w:i/>
                <w:sz w:val="24"/>
                <w:szCs w:val="24"/>
                <w:lang w:val="ky-KG"/>
              </w:rPr>
            </w:pPr>
            <w:r w:rsidRPr="00C44EE6">
              <w:rPr>
                <w:b/>
                <w:i/>
                <w:sz w:val="24"/>
                <w:szCs w:val="24"/>
              </w:rPr>
              <w:t>Структура численности официально зарегистрированных безработных</w:t>
            </w:r>
          </w:p>
          <w:p w14:paraId="343D0C01" w14:textId="77777777" w:rsidR="00720C02" w:rsidRPr="00C44EE6" w:rsidRDefault="00720C02" w:rsidP="00720C02">
            <w:pPr>
              <w:pStyle w:val="a8"/>
              <w:spacing w:after="0"/>
              <w:ind w:left="0" w:hanging="20"/>
              <w:jc w:val="center"/>
              <w:rPr>
                <w:b/>
                <w:i/>
                <w:sz w:val="24"/>
                <w:szCs w:val="24"/>
              </w:rPr>
            </w:pPr>
            <w:r w:rsidRPr="00C44EE6">
              <w:rPr>
                <w:b/>
                <w:i/>
                <w:sz w:val="24"/>
                <w:szCs w:val="24"/>
              </w:rPr>
              <w:t>в органах управления труда и социального развития в территориальном разрезе</w:t>
            </w:r>
          </w:p>
          <w:p w14:paraId="2A5C44A0" w14:textId="74251DA6" w:rsidR="00936879" w:rsidRPr="00C44EE6" w:rsidRDefault="00720C02" w:rsidP="00720C02">
            <w:pPr>
              <w:pStyle w:val="a8"/>
              <w:spacing w:after="0"/>
              <w:ind w:left="0" w:hanging="20"/>
              <w:jc w:val="center"/>
              <w:rPr>
                <w:i/>
                <w:sz w:val="24"/>
              </w:rPr>
            </w:pPr>
            <w:r w:rsidRPr="00C44EE6">
              <w:rPr>
                <w:i/>
                <w:sz w:val="24"/>
                <w:szCs w:val="24"/>
              </w:rPr>
              <w:t>(в процентах к итогу)</w:t>
            </w:r>
          </w:p>
        </w:tc>
      </w:tr>
    </w:tbl>
    <w:p w14:paraId="08F4BE27" w14:textId="77777777" w:rsidR="00936879" w:rsidRPr="00C44EE6" w:rsidRDefault="00936879" w:rsidP="00936879">
      <w:pPr>
        <w:ind w:firstLine="708"/>
        <w:rPr>
          <w:sz w:val="24"/>
          <w:highlight w:val="yellow"/>
        </w:rPr>
      </w:pPr>
    </w:p>
    <w:p w14:paraId="0093C4C1" w14:textId="77777777" w:rsidR="006D07F0" w:rsidRPr="00C44EE6" w:rsidRDefault="006D07F0" w:rsidP="00936879">
      <w:pPr>
        <w:ind w:firstLine="708"/>
        <w:rPr>
          <w:sz w:val="24"/>
          <w:highlight w:val="yellow"/>
        </w:rPr>
      </w:pPr>
    </w:p>
    <w:p w14:paraId="6EC8D733" w14:textId="77777777" w:rsidR="006D07F0" w:rsidRPr="00C44EE6" w:rsidRDefault="006D07F0" w:rsidP="00936879">
      <w:pPr>
        <w:ind w:firstLine="708"/>
        <w:rPr>
          <w:sz w:val="24"/>
          <w:highlight w:val="yellow"/>
        </w:rPr>
      </w:pPr>
    </w:p>
    <w:p w14:paraId="302F85F5" w14:textId="35DC0DF0" w:rsidR="00936879" w:rsidRPr="00C44EE6" w:rsidRDefault="00042609" w:rsidP="00936879">
      <w:pPr>
        <w:ind w:firstLine="708"/>
        <w:rPr>
          <w:sz w:val="24"/>
          <w:highlight w:val="yellow"/>
          <w:lang w:val="ky-KG"/>
        </w:rPr>
      </w:pPr>
      <w:r w:rsidRPr="00C44EE6">
        <w:rPr>
          <w:noProof/>
          <w:sz w:val="24"/>
        </w:rPr>
        <w:drawing>
          <wp:inline distT="0" distB="0" distL="0" distR="0" wp14:anchorId="560F799E" wp14:editId="61271033">
            <wp:extent cx="5789295" cy="2484120"/>
            <wp:effectExtent l="0" t="0" r="1905" b="11430"/>
            <wp:docPr id="1945864994" name="Объект 3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A32CCCA" w14:textId="77777777" w:rsidR="00936879" w:rsidRPr="00C44EE6" w:rsidRDefault="00936879" w:rsidP="00936879">
      <w:pPr>
        <w:ind w:firstLine="708"/>
        <w:rPr>
          <w:sz w:val="24"/>
          <w:highlight w:val="yellow"/>
          <w:lang w:val="ky-KG"/>
        </w:rPr>
      </w:pPr>
    </w:p>
    <w:p w14:paraId="0B8CBEFD" w14:textId="77777777" w:rsidR="00F21DE1" w:rsidRPr="00C44EE6" w:rsidRDefault="00F21DE1" w:rsidP="00903772">
      <w:pPr>
        <w:ind w:firstLine="708"/>
        <w:rPr>
          <w:sz w:val="24"/>
          <w:highlight w:val="yellow"/>
          <w:lang w:val="ky-KG"/>
        </w:rPr>
      </w:pPr>
    </w:p>
    <w:tbl>
      <w:tblPr>
        <w:tblW w:w="9497" w:type="dxa"/>
        <w:tblInd w:w="250" w:type="dxa"/>
        <w:tblLook w:val="04A0" w:firstRow="1" w:lastRow="0" w:firstColumn="1" w:lastColumn="0" w:noHBand="0" w:noVBand="1"/>
      </w:tblPr>
      <w:tblGrid>
        <w:gridCol w:w="4677"/>
        <w:gridCol w:w="4820"/>
      </w:tblGrid>
      <w:tr w:rsidR="00C44EE6" w:rsidRPr="00C44EE6" w14:paraId="16DA1EB0" w14:textId="77777777" w:rsidTr="00F45C31">
        <w:tc>
          <w:tcPr>
            <w:tcW w:w="4677" w:type="dxa"/>
          </w:tcPr>
          <w:p w14:paraId="11352507" w14:textId="77777777" w:rsidR="000A1019" w:rsidRPr="00C44EE6" w:rsidRDefault="000A1019" w:rsidP="000A1019">
            <w:pPr>
              <w:ind w:firstLine="743"/>
              <w:jc w:val="both"/>
              <w:rPr>
                <w:sz w:val="24"/>
                <w:lang w:val="ky-KG"/>
              </w:rPr>
            </w:pPr>
            <w:r w:rsidRPr="00C44EE6">
              <w:rPr>
                <w:b/>
                <w:sz w:val="24"/>
                <w:lang w:val="ky-KG"/>
              </w:rPr>
              <w:t>Соода жана</w:t>
            </w:r>
            <w:r w:rsidRPr="00C44EE6">
              <w:rPr>
                <w:b/>
                <w:sz w:val="24"/>
              </w:rPr>
              <w:t xml:space="preserve"> </w:t>
            </w:r>
            <w:r w:rsidRPr="00C44EE6">
              <w:rPr>
                <w:b/>
                <w:sz w:val="24"/>
                <w:lang w:val="ky-KG"/>
              </w:rPr>
              <w:t>калкка кызмат көрсөтүү.</w:t>
            </w:r>
            <w:r w:rsidRPr="00C44EE6">
              <w:rPr>
                <w:sz w:val="24"/>
              </w:rPr>
              <w:t xml:space="preserve"> </w:t>
            </w:r>
          </w:p>
          <w:p w14:paraId="3EDA403B" w14:textId="200DB3F6" w:rsidR="000A1019" w:rsidRPr="00C44EE6" w:rsidRDefault="000A1019" w:rsidP="000A1019">
            <w:pPr>
              <w:ind w:firstLine="743"/>
              <w:jc w:val="both"/>
              <w:rPr>
                <w:i/>
                <w:sz w:val="24"/>
                <w:lang w:val="ky-KG"/>
              </w:rPr>
            </w:pPr>
            <w:r w:rsidRPr="00C44EE6">
              <w:rPr>
                <w:rFonts w:ascii="Times New Roman UniToktom" w:hAnsi="Times New Roman UniToktom" w:cs="Times New Roman UniToktom"/>
                <w:sz w:val="24"/>
                <w:szCs w:val="24"/>
                <w:lang w:val="ky-KG"/>
              </w:rPr>
              <w:t xml:space="preserve"> </w:t>
            </w:r>
            <w:r w:rsidR="0051065C" w:rsidRPr="00C44EE6">
              <w:rPr>
                <w:rFonts w:ascii="Times New Roman UniToktom" w:hAnsi="Times New Roman UniToktom" w:cs="Times New Roman UniToktom"/>
                <w:sz w:val="24"/>
                <w:szCs w:val="24"/>
                <w:lang w:val="ky-KG"/>
              </w:rPr>
              <w:t xml:space="preserve">Кыргыз Республикасында өзгөчө кырдаал абалы 2024-жылдын   Жалал-Абад облусунда </w:t>
            </w:r>
            <w:r w:rsidR="0051065C" w:rsidRPr="00C44EE6">
              <w:rPr>
                <w:sz w:val="24"/>
                <w:lang w:val="ky-KG"/>
              </w:rPr>
              <w:t>дүң жана чекене соода жүгүртүүнүн, автоунааларды жана мотоциклдерди оңдоонун жалпы көлөмү</w:t>
            </w:r>
            <w:r w:rsidR="0051065C" w:rsidRPr="00C44EE6">
              <w:rPr>
                <w:rFonts w:ascii="Times New Roman UniToktom" w:hAnsi="Times New Roman UniToktom" w:cs="Times New Roman UniToktom"/>
                <w:sz w:val="24"/>
                <w:szCs w:val="24"/>
                <w:lang w:val="ky-KG"/>
              </w:rPr>
              <w:t xml:space="preserve"> 2023 – жылга салыштырмалуу </w:t>
            </w:r>
            <w:r w:rsidR="0051065C" w:rsidRPr="00C44EE6">
              <w:rPr>
                <w:sz w:val="24"/>
                <w:lang w:val="ky-KG"/>
              </w:rPr>
              <w:t>дүң жана чекене соода жүгүртүүнүн, автоунааларды жана мотоциклдерди оңдоонун жалпы көлөмү 134375,3 млн.сомду түзүп 105,1 пайызга көбөйдү.</w:t>
            </w:r>
          </w:p>
        </w:tc>
        <w:tc>
          <w:tcPr>
            <w:tcW w:w="4820" w:type="dxa"/>
          </w:tcPr>
          <w:p w14:paraId="55DEE43C" w14:textId="77777777" w:rsidR="000A1019" w:rsidRPr="00C44EE6" w:rsidRDefault="000A1019" w:rsidP="000A1019">
            <w:pPr>
              <w:ind w:firstLine="708"/>
              <w:jc w:val="both"/>
              <w:rPr>
                <w:i/>
                <w:sz w:val="24"/>
              </w:rPr>
            </w:pPr>
            <w:r w:rsidRPr="00C44EE6">
              <w:rPr>
                <w:b/>
                <w:i/>
                <w:sz w:val="24"/>
              </w:rPr>
              <w:t>Торговля и услуги населению.</w:t>
            </w:r>
            <w:r w:rsidRPr="00C44EE6">
              <w:rPr>
                <w:i/>
                <w:sz w:val="24"/>
              </w:rPr>
              <w:t xml:space="preserve"> </w:t>
            </w:r>
          </w:p>
          <w:p w14:paraId="62E6B29A" w14:textId="77777777" w:rsidR="000A1019" w:rsidRPr="00C44EE6" w:rsidRDefault="000A1019" w:rsidP="000A1019">
            <w:pPr>
              <w:jc w:val="both"/>
              <w:rPr>
                <w:sz w:val="24"/>
                <w:lang w:val="ky-KG"/>
              </w:rPr>
            </w:pPr>
          </w:p>
          <w:p w14:paraId="475EB1DC" w14:textId="4FC6328F" w:rsidR="000A1019" w:rsidRPr="00C44EE6" w:rsidRDefault="0051065C" w:rsidP="000A1019">
            <w:pPr>
              <w:jc w:val="both"/>
              <w:rPr>
                <w:sz w:val="24"/>
                <w:lang w:val="ky-KG"/>
              </w:rPr>
            </w:pPr>
            <w:r w:rsidRPr="00C44EE6">
              <w:rPr>
                <w:i/>
                <w:sz w:val="24"/>
              </w:rPr>
              <w:t>В 2024 году по сравнению с 20</w:t>
            </w:r>
            <w:r w:rsidRPr="00C44EE6">
              <w:rPr>
                <w:i/>
                <w:sz w:val="24"/>
                <w:lang w:val="ky-KG"/>
              </w:rPr>
              <w:t>2</w:t>
            </w:r>
            <w:r w:rsidRPr="00C44EE6">
              <w:rPr>
                <w:i/>
                <w:sz w:val="24"/>
              </w:rPr>
              <w:t>3 годом общий объем оборота оптовой и розничной торговли, ремонта автомобилей и мотоциклов</w:t>
            </w:r>
            <w:r w:rsidRPr="00C44EE6">
              <w:rPr>
                <w:i/>
                <w:sz w:val="24"/>
                <w:lang w:val="ky-KG"/>
              </w:rPr>
              <w:t>,</w:t>
            </w:r>
            <w:r w:rsidRPr="00C44EE6">
              <w:rPr>
                <w:sz w:val="24"/>
                <w:szCs w:val="24"/>
              </w:rPr>
              <w:t xml:space="preserve"> </w:t>
            </w:r>
            <w:r w:rsidRPr="00C44EE6">
              <w:rPr>
                <w:i/>
                <w:sz w:val="24"/>
                <w:szCs w:val="24"/>
              </w:rPr>
              <w:t xml:space="preserve">что по сравнению с прошлым годом </w:t>
            </w:r>
            <w:r w:rsidRPr="00C44EE6">
              <w:rPr>
                <w:i/>
                <w:sz w:val="24"/>
                <w:szCs w:val="24"/>
                <w:lang w:val="ky-KG"/>
              </w:rPr>
              <w:t>боль</w:t>
            </w:r>
            <w:proofErr w:type="spellStart"/>
            <w:r w:rsidRPr="00C44EE6">
              <w:rPr>
                <w:i/>
                <w:sz w:val="24"/>
                <w:szCs w:val="24"/>
              </w:rPr>
              <w:t>ше</w:t>
            </w:r>
            <w:proofErr w:type="spellEnd"/>
            <w:r w:rsidRPr="00C44EE6">
              <w:rPr>
                <w:i/>
                <w:sz w:val="24"/>
              </w:rPr>
              <w:t xml:space="preserve"> на </w:t>
            </w:r>
            <w:r w:rsidRPr="00C44EE6">
              <w:rPr>
                <w:i/>
                <w:sz w:val="24"/>
                <w:lang w:val="ky-KG"/>
              </w:rPr>
              <w:t>1</w:t>
            </w:r>
            <w:r w:rsidRPr="00C44EE6">
              <w:rPr>
                <w:i/>
                <w:sz w:val="24"/>
              </w:rPr>
              <w:t>05</w:t>
            </w:r>
            <w:r w:rsidRPr="00C44EE6">
              <w:rPr>
                <w:i/>
                <w:sz w:val="24"/>
                <w:lang w:val="ky-KG"/>
              </w:rPr>
              <w:t>,</w:t>
            </w:r>
            <w:r w:rsidRPr="00C44EE6">
              <w:rPr>
                <w:i/>
                <w:sz w:val="24"/>
              </w:rPr>
              <w:t>1 процент</w:t>
            </w:r>
            <w:r w:rsidRPr="00C44EE6">
              <w:rPr>
                <w:i/>
                <w:sz w:val="24"/>
                <w:lang w:val="ky-KG"/>
              </w:rPr>
              <w:t>а</w:t>
            </w:r>
            <w:r w:rsidRPr="00C44EE6">
              <w:rPr>
                <w:i/>
                <w:sz w:val="24"/>
              </w:rPr>
              <w:t>в и составил 134375,3 млн. сомов.</w:t>
            </w:r>
          </w:p>
        </w:tc>
      </w:tr>
      <w:tr w:rsidR="00C44EE6" w:rsidRPr="00C44EE6" w14:paraId="2BE4DD35" w14:textId="77777777" w:rsidTr="00F45C31">
        <w:tc>
          <w:tcPr>
            <w:tcW w:w="4677" w:type="dxa"/>
          </w:tcPr>
          <w:p w14:paraId="48D810A4" w14:textId="5F10B2EE" w:rsidR="0051065C" w:rsidRPr="00C44EE6" w:rsidRDefault="0051065C" w:rsidP="0051065C">
            <w:pPr>
              <w:ind w:firstLine="708"/>
              <w:jc w:val="both"/>
              <w:rPr>
                <w:sz w:val="24"/>
              </w:rPr>
            </w:pPr>
            <w:proofErr w:type="spellStart"/>
            <w:r w:rsidRPr="00C44EE6">
              <w:rPr>
                <w:sz w:val="24"/>
              </w:rPr>
              <w:t>Мейманканалар</w:t>
            </w:r>
            <w:proofErr w:type="spellEnd"/>
            <w:r w:rsidRPr="00C44EE6">
              <w:rPr>
                <w:sz w:val="24"/>
              </w:rPr>
              <w:t xml:space="preserve"> </w:t>
            </w:r>
            <w:proofErr w:type="spellStart"/>
            <w:r w:rsidRPr="00C44EE6">
              <w:rPr>
                <w:sz w:val="24"/>
              </w:rPr>
              <w:t>жана</w:t>
            </w:r>
            <w:proofErr w:type="spellEnd"/>
            <w:r w:rsidRPr="00C44EE6">
              <w:rPr>
                <w:sz w:val="24"/>
              </w:rPr>
              <w:t xml:space="preserve"> </w:t>
            </w:r>
            <w:proofErr w:type="spellStart"/>
            <w:r w:rsidRPr="00C44EE6">
              <w:rPr>
                <w:sz w:val="24"/>
              </w:rPr>
              <w:t>ресторандар</w:t>
            </w:r>
            <w:proofErr w:type="spellEnd"/>
            <w:r w:rsidRPr="00C44EE6">
              <w:rPr>
                <w:sz w:val="24"/>
              </w:rPr>
              <w:t xml:space="preserve"> </w:t>
            </w:r>
            <w:proofErr w:type="spellStart"/>
            <w:r w:rsidRPr="00C44EE6">
              <w:rPr>
                <w:sz w:val="24"/>
              </w:rPr>
              <w:t>тарабынан</w:t>
            </w:r>
            <w:proofErr w:type="spellEnd"/>
            <w:r w:rsidRPr="00C44EE6">
              <w:rPr>
                <w:sz w:val="24"/>
              </w:rPr>
              <w:t xml:space="preserve"> </w:t>
            </w:r>
            <w:proofErr w:type="spellStart"/>
            <w:r w:rsidRPr="00C44EE6">
              <w:rPr>
                <w:sz w:val="24"/>
              </w:rPr>
              <w:t>көрсөтүлгөн</w:t>
            </w:r>
            <w:proofErr w:type="spellEnd"/>
            <w:r w:rsidRPr="00C44EE6">
              <w:rPr>
                <w:sz w:val="24"/>
              </w:rPr>
              <w:t xml:space="preserve"> </w:t>
            </w:r>
            <w:proofErr w:type="spellStart"/>
            <w:r w:rsidRPr="00C44EE6">
              <w:rPr>
                <w:sz w:val="24"/>
              </w:rPr>
              <w:t>кызмат</w:t>
            </w:r>
            <w:proofErr w:type="spellEnd"/>
            <w:r w:rsidRPr="00C44EE6">
              <w:rPr>
                <w:sz w:val="24"/>
              </w:rPr>
              <w:t xml:space="preserve"> </w:t>
            </w:r>
            <w:proofErr w:type="spellStart"/>
            <w:r w:rsidRPr="00C44EE6">
              <w:rPr>
                <w:sz w:val="24"/>
              </w:rPr>
              <w:t>көрсөтүүлөрдүн</w:t>
            </w:r>
            <w:proofErr w:type="spellEnd"/>
            <w:r w:rsidRPr="00C44EE6">
              <w:rPr>
                <w:sz w:val="24"/>
              </w:rPr>
              <w:t xml:space="preserve"> </w:t>
            </w:r>
            <w:proofErr w:type="spellStart"/>
            <w:r w:rsidRPr="00C44EE6">
              <w:rPr>
                <w:sz w:val="24"/>
              </w:rPr>
              <w:t>көлөмү</w:t>
            </w:r>
            <w:proofErr w:type="spellEnd"/>
            <w:r w:rsidRPr="00C44EE6">
              <w:rPr>
                <w:sz w:val="24"/>
              </w:rPr>
              <w:t xml:space="preserve"> 450239,4 </w:t>
            </w:r>
            <w:proofErr w:type="spellStart"/>
            <w:proofErr w:type="gramStart"/>
            <w:r w:rsidRPr="00C44EE6">
              <w:rPr>
                <w:sz w:val="24"/>
              </w:rPr>
              <w:t>млн.сомду</w:t>
            </w:r>
            <w:proofErr w:type="spellEnd"/>
            <w:proofErr w:type="gramEnd"/>
            <w:r w:rsidRPr="00C44EE6">
              <w:rPr>
                <w:sz w:val="24"/>
              </w:rPr>
              <w:t xml:space="preserve"> </w:t>
            </w:r>
            <w:proofErr w:type="spellStart"/>
            <w:r w:rsidRPr="00C44EE6">
              <w:rPr>
                <w:sz w:val="24"/>
              </w:rPr>
              <w:t>түздү</w:t>
            </w:r>
            <w:proofErr w:type="spellEnd"/>
            <w:r w:rsidRPr="00C44EE6">
              <w:rPr>
                <w:sz w:val="24"/>
              </w:rPr>
              <w:t xml:space="preserve"> </w:t>
            </w:r>
            <w:proofErr w:type="spellStart"/>
            <w:r w:rsidRPr="00C44EE6">
              <w:rPr>
                <w:sz w:val="24"/>
              </w:rPr>
              <w:t>жана</w:t>
            </w:r>
            <w:proofErr w:type="spellEnd"/>
            <w:r w:rsidRPr="00C44EE6">
              <w:rPr>
                <w:sz w:val="24"/>
              </w:rPr>
              <w:t xml:space="preserve"> 5,7</w:t>
            </w:r>
            <w:r w:rsidRPr="00C44EE6">
              <w:rPr>
                <w:sz w:val="24"/>
                <w:lang w:val="ky-KG"/>
              </w:rPr>
              <w:t xml:space="preserve"> </w:t>
            </w:r>
            <w:proofErr w:type="spellStart"/>
            <w:r w:rsidRPr="00C44EE6">
              <w:rPr>
                <w:sz w:val="24"/>
              </w:rPr>
              <w:t>пайызга</w:t>
            </w:r>
            <w:proofErr w:type="spellEnd"/>
            <w:r w:rsidRPr="00C44EE6">
              <w:rPr>
                <w:sz w:val="24"/>
              </w:rPr>
              <w:t xml:space="preserve"> </w:t>
            </w:r>
            <w:r w:rsidRPr="00C44EE6">
              <w:rPr>
                <w:sz w:val="24"/>
                <w:lang w:val="ky-KG"/>
              </w:rPr>
              <w:t>көбөйдү</w:t>
            </w:r>
            <w:r w:rsidRPr="00C44EE6">
              <w:rPr>
                <w:sz w:val="24"/>
              </w:rPr>
              <w:t>.</w:t>
            </w:r>
          </w:p>
        </w:tc>
        <w:tc>
          <w:tcPr>
            <w:tcW w:w="4820" w:type="dxa"/>
          </w:tcPr>
          <w:p w14:paraId="24034117" w14:textId="25520190" w:rsidR="0051065C" w:rsidRPr="00C44EE6" w:rsidRDefault="0051065C" w:rsidP="0051065C">
            <w:pPr>
              <w:ind w:firstLine="708"/>
              <w:jc w:val="both"/>
              <w:rPr>
                <w:i/>
                <w:sz w:val="24"/>
              </w:rPr>
            </w:pPr>
            <w:r w:rsidRPr="00C44EE6">
              <w:rPr>
                <w:i/>
                <w:sz w:val="24"/>
              </w:rPr>
              <w:t>Объем услуг, оказанный гостиницами и ресторанами, составил 450239,4</w:t>
            </w:r>
            <w:r w:rsidRPr="00C44EE6">
              <w:rPr>
                <w:i/>
                <w:sz w:val="24"/>
                <w:lang w:val="ky-KG"/>
              </w:rPr>
              <w:t xml:space="preserve"> </w:t>
            </w:r>
            <w:r w:rsidRPr="00C44EE6">
              <w:rPr>
                <w:i/>
                <w:sz w:val="24"/>
              </w:rPr>
              <w:t xml:space="preserve">млн. сом и </w:t>
            </w:r>
            <w:r w:rsidRPr="00C44EE6">
              <w:rPr>
                <w:i/>
                <w:sz w:val="24"/>
                <w:lang w:val="ky-KG"/>
              </w:rPr>
              <w:t>увеличился</w:t>
            </w:r>
            <w:r w:rsidRPr="00C44EE6">
              <w:rPr>
                <w:i/>
                <w:sz w:val="24"/>
              </w:rPr>
              <w:t xml:space="preserve"> на</w:t>
            </w:r>
            <w:r w:rsidRPr="00C44EE6">
              <w:rPr>
                <w:i/>
                <w:sz w:val="24"/>
                <w:lang w:val="ky-KG"/>
              </w:rPr>
              <w:t xml:space="preserve"> </w:t>
            </w:r>
            <w:r w:rsidRPr="00C44EE6">
              <w:rPr>
                <w:i/>
                <w:sz w:val="24"/>
              </w:rPr>
              <w:t>5,</w:t>
            </w:r>
            <w:proofErr w:type="gramStart"/>
            <w:r w:rsidRPr="00C44EE6">
              <w:rPr>
                <w:i/>
                <w:sz w:val="24"/>
              </w:rPr>
              <w:t>7</w:t>
            </w:r>
            <w:r w:rsidRPr="00C44EE6">
              <w:rPr>
                <w:i/>
                <w:sz w:val="24"/>
                <w:lang w:val="ky-KG"/>
              </w:rPr>
              <w:t xml:space="preserve"> </w:t>
            </w:r>
            <w:r w:rsidRPr="00C44EE6">
              <w:rPr>
                <w:i/>
                <w:sz w:val="24"/>
              </w:rPr>
              <w:t xml:space="preserve"> процента</w:t>
            </w:r>
            <w:proofErr w:type="gramEnd"/>
            <w:r w:rsidRPr="00C44EE6">
              <w:rPr>
                <w:sz w:val="24"/>
              </w:rPr>
              <w:t>.</w:t>
            </w:r>
          </w:p>
        </w:tc>
      </w:tr>
      <w:tr w:rsidR="00C44EE6" w:rsidRPr="00C44EE6" w14:paraId="0458B923" w14:textId="77777777" w:rsidTr="00F45C31">
        <w:tc>
          <w:tcPr>
            <w:tcW w:w="4677" w:type="dxa"/>
          </w:tcPr>
          <w:p w14:paraId="06070988" w14:textId="74B952EF" w:rsidR="0051065C" w:rsidRPr="00C44EE6" w:rsidRDefault="0051065C" w:rsidP="0051065C">
            <w:pPr>
              <w:ind w:firstLine="708"/>
              <w:jc w:val="both"/>
              <w:rPr>
                <w:sz w:val="24"/>
                <w:lang w:val="ky-KG"/>
              </w:rPr>
            </w:pPr>
            <w:r w:rsidRPr="00C44EE6">
              <w:rPr>
                <w:sz w:val="24"/>
                <w:lang w:val="ky-KG"/>
              </w:rPr>
              <w:t>2020-</w:t>
            </w:r>
            <w:r w:rsidRPr="00C44EE6">
              <w:rPr>
                <w:sz w:val="24"/>
              </w:rPr>
              <w:t>20</w:t>
            </w:r>
            <w:r w:rsidRPr="00C44EE6">
              <w:rPr>
                <w:sz w:val="24"/>
                <w:lang w:val="ky-KG"/>
              </w:rPr>
              <w:t>2</w:t>
            </w:r>
            <w:r w:rsidRPr="00C44EE6">
              <w:rPr>
                <w:sz w:val="24"/>
              </w:rPr>
              <w:t>4</w:t>
            </w:r>
            <w:r w:rsidRPr="00C44EE6">
              <w:rPr>
                <w:sz w:val="24"/>
                <w:lang w:val="ky-KG"/>
              </w:rPr>
              <w:t xml:space="preserve">ж.ж. аралыгында соода </w:t>
            </w:r>
            <w:proofErr w:type="spellStart"/>
            <w:r w:rsidRPr="00C44EE6">
              <w:rPr>
                <w:sz w:val="24"/>
              </w:rPr>
              <w:t>жүгүртүүнүн</w:t>
            </w:r>
            <w:proofErr w:type="spellEnd"/>
            <w:r w:rsidRPr="00C44EE6">
              <w:rPr>
                <w:sz w:val="24"/>
              </w:rPr>
              <w:t xml:space="preserve"> </w:t>
            </w:r>
            <w:proofErr w:type="spellStart"/>
            <w:r w:rsidRPr="00C44EE6">
              <w:rPr>
                <w:sz w:val="24"/>
              </w:rPr>
              <w:t>өсүшү</w:t>
            </w:r>
            <w:proofErr w:type="spellEnd"/>
            <w:r w:rsidRPr="00C44EE6">
              <w:rPr>
                <w:rFonts w:ascii="Arial" w:hAnsi="Arial" w:cs="Arial"/>
                <w:sz w:val="27"/>
                <w:szCs w:val="27"/>
              </w:rPr>
              <w:t xml:space="preserve"> </w:t>
            </w:r>
            <w:proofErr w:type="spellStart"/>
            <w:r w:rsidRPr="00C44EE6">
              <w:rPr>
                <w:sz w:val="24"/>
              </w:rPr>
              <w:t>чекене</w:t>
            </w:r>
            <w:proofErr w:type="spellEnd"/>
            <w:r w:rsidRPr="00C44EE6">
              <w:rPr>
                <w:sz w:val="24"/>
              </w:rPr>
              <w:t xml:space="preserve"> </w:t>
            </w:r>
            <w:proofErr w:type="spellStart"/>
            <w:r w:rsidRPr="00C44EE6">
              <w:rPr>
                <w:sz w:val="24"/>
              </w:rPr>
              <w:t>соода</w:t>
            </w:r>
            <w:proofErr w:type="spellEnd"/>
            <w:r w:rsidRPr="00C44EE6">
              <w:rPr>
                <w:sz w:val="24"/>
              </w:rPr>
              <w:t xml:space="preserve"> </w:t>
            </w:r>
            <w:proofErr w:type="spellStart"/>
            <w:r w:rsidRPr="00C44EE6">
              <w:rPr>
                <w:sz w:val="24"/>
              </w:rPr>
              <w:t>жүгүртүүнүн</w:t>
            </w:r>
            <w:proofErr w:type="spellEnd"/>
            <w:r w:rsidRPr="00C44EE6">
              <w:rPr>
                <w:rFonts w:ascii="Arial" w:hAnsi="Arial" w:cs="Arial"/>
                <w:sz w:val="27"/>
                <w:szCs w:val="27"/>
              </w:rPr>
              <w:t xml:space="preserve"> </w:t>
            </w:r>
            <w:proofErr w:type="spellStart"/>
            <w:r w:rsidRPr="00C44EE6">
              <w:rPr>
                <w:sz w:val="24"/>
              </w:rPr>
              <w:t>эсебинен</w:t>
            </w:r>
            <w:proofErr w:type="spellEnd"/>
            <w:r w:rsidRPr="00C44EE6">
              <w:rPr>
                <w:sz w:val="24"/>
              </w:rPr>
              <w:t xml:space="preserve"> </w:t>
            </w:r>
            <w:proofErr w:type="spellStart"/>
            <w:r w:rsidRPr="00C44EE6">
              <w:rPr>
                <w:sz w:val="24"/>
              </w:rPr>
              <w:t>сакталып</w:t>
            </w:r>
            <w:proofErr w:type="spellEnd"/>
            <w:r w:rsidRPr="00C44EE6">
              <w:rPr>
                <w:sz w:val="24"/>
              </w:rPr>
              <w:t>,</w:t>
            </w:r>
            <w:r w:rsidRPr="00C44EE6">
              <w:rPr>
                <w:rFonts w:ascii="Arial" w:hAnsi="Arial" w:cs="Arial"/>
                <w:sz w:val="27"/>
                <w:szCs w:val="27"/>
              </w:rPr>
              <w:t xml:space="preserve"> </w:t>
            </w:r>
            <w:r w:rsidRPr="00C44EE6">
              <w:rPr>
                <w:sz w:val="24"/>
              </w:rPr>
              <w:t xml:space="preserve"> </w:t>
            </w:r>
            <w:proofErr w:type="spellStart"/>
            <w:r w:rsidRPr="00C44EE6">
              <w:rPr>
                <w:sz w:val="24"/>
              </w:rPr>
              <w:t>коомдук</w:t>
            </w:r>
            <w:proofErr w:type="spellEnd"/>
            <w:r w:rsidRPr="00C44EE6">
              <w:rPr>
                <w:sz w:val="24"/>
              </w:rPr>
              <w:t xml:space="preserve"> </w:t>
            </w:r>
            <w:proofErr w:type="spellStart"/>
            <w:r w:rsidRPr="00C44EE6">
              <w:rPr>
                <w:sz w:val="24"/>
              </w:rPr>
              <w:t>тамак-аш</w:t>
            </w:r>
            <w:proofErr w:type="spellEnd"/>
            <w:r w:rsidRPr="00C44EE6">
              <w:rPr>
                <w:sz w:val="24"/>
              </w:rPr>
              <w:t xml:space="preserve"> </w:t>
            </w:r>
            <w:proofErr w:type="spellStart"/>
            <w:r w:rsidRPr="00C44EE6">
              <w:rPr>
                <w:sz w:val="24"/>
              </w:rPr>
              <w:t>менен</w:t>
            </w:r>
            <w:proofErr w:type="spellEnd"/>
            <w:r w:rsidRPr="00C44EE6">
              <w:rPr>
                <w:sz w:val="24"/>
              </w:rPr>
              <w:t xml:space="preserve"> </w:t>
            </w:r>
            <w:proofErr w:type="spellStart"/>
            <w:r w:rsidRPr="00C44EE6">
              <w:rPr>
                <w:sz w:val="24"/>
              </w:rPr>
              <w:t>бирге</w:t>
            </w:r>
            <w:proofErr w:type="spellEnd"/>
            <w:r w:rsidRPr="00C44EE6">
              <w:rPr>
                <w:sz w:val="24"/>
                <w:lang w:val="ky-KG"/>
              </w:rPr>
              <w:t>,</w:t>
            </w:r>
            <w:r w:rsidRPr="00C44EE6">
              <w:rPr>
                <w:sz w:val="24"/>
              </w:rPr>
              <w:t xml:space="preserve"> </w:t>
            </w:r>
            <w:r w:rsidRPr="00C44EE6">
              <w:rPr>
                <w:sz w:val="24"/>
                <w:lang w:val="ky-KG"/>
              </w:rPr>
              <w:t>202</w:t>
            </w:r>
            <w:r w:rsidRPr="00C44EE6">
              <w:rPr>
                <w:sz w:val="24"/>
              </w:rPr>
              <w:t>4-</w:t>
            </w:r>
            <w:r w:rsidRPr="00C44EE6">
              <w:rPr>
                <w:sz w:val="24"/>
                <w:lang w:val="ky-KG"/>
              </w:rPr>
              <w:t xml:space="preserve">жылы анын көлөмү </w:t>
            </w:r>
            <w:r w:rsidRPr="00C44EE6">
              <w:rPr>
                <w:sz w:val="24"/>
              </w:rPr>
              <w:t>4368030,0</w:t>
            </w:r>
            <w:r w:rsidRPr="00C44EE6">
              <w:rPr>
                <w:sz w:val="24"/>
                <w:lang w:val="ky-KG"/>
              </w:rPr>
              <w:t xml:space="preserve"> млн.сомду тузүп жана өткөн жылга салыштырмалуу 5,3 пайызга көбөйдү. </w:t>
            </w:r>
          </w:p>
        </w:tc>
        <w:tc>
          <w:tcPr>
            <w:tcW w:w="4820" w:type="dxa"/>
          </w:tcPr>
          <w:p w14:paraId="570560A0" w14:textId="24A786CA" w:rsidR="0051065C" w:rsidRPr="00C44EE6" w:rsidRDefault="0051065C" w:rsidP="0051065C">
            <w:pPr>
              <w:ind w:firstLine="708"/>
              <w:jc w:val="both"/>
              <w:rPr>
                <w:i/>
                <w:sz w:val="24"/>
              </w:rPr>
            </w:pPr>
            <w:r w:rsidRPr="00C44EE6">
              <w:rPr>
                <w:i/>
                <w:sz w:val="24"/>
              </w:rPr>
              <w:t>В течение 2020-20</w:t>
            </w:r>
            <w:r w:rsidRPr="00C44EE6">
              <w:rPr>
                <w:i/>
                <w:sz w:val="24"/>
                <w:lang w:val="ky-KG"/>
              </w:rPr>
              <w:t>24</w:t>
            </w:r>
            <w:r w:rsidRPr="00C44EE6">
              <w:rPr>
                <w:i/>
                <w:sz w:val="24"/>
              </w:rPr>
              <w:t>гг. рост товарооборота сохраняется за счет оборота розничной торговли, включая общественное питание, в 20</w:t>
            </w:r>
            <w:r w:rsidRPr="00C44EE6">
              <w:rPr>
                <w:i/>
                <w:sz w:val="24"/>
                <w:lang w:val="ky-KG"/>
              </w:rPr>
              <w:t>2</w:t>
            </w:r>
            <w:r w:rsidRPr="00C44EE6">
              <w:rPr>
                <w:i/>
                <w:sz w:val="24"/>
              </w:rPr>
              <w:t xml:space="preserve">4 г. его объем составил 4368030,0 млн. сомов и </w:t>
            </w:r>
            <w:proofErr w:type="gramStart"/>
            <w:r w:rsidRPr="00C44EE6">
              <w:rPr>
                <w:i/>
                <w:sz w:val="24"/>
                <w:lang w:val="ky-KG"/>
              </w:rPr>
              <w:t xml:space="preserve">увеличился </w:t>
            </w:r>
            <w:r w:rsidRPr="00C44EE6">
              <w:rPr>
                <w:i/>
                <w:sz w:val="24"/>
              </w:rPr>
              <w:t xml:space="preserve"> по</w:t>
            </w:r>
            <w:proofErr w:type="gramEnd"/>
            <w:r w:rsidRPr="00C44EE6">
              <w:rPr>
                <w:i/>
                <w:sz w:val="24"/>
              </w:rPr>
              <w:t xml:space="preserve"> сравнению с предыдущим периодом н</w:t>
            </w:r>
            <w:r w:rsidRPr="00C44EE6">
              <w:rPr>
                <w:i/>
                <w:sz w:val="24"/>
                <w:lang w:val="ky-KG"/>
              </w:rPr>
              <w:t>а 5,3</w:t>
            </w:r>
            <w:r w:rsidRPr="00C44EE6">
              <w:rPr>
                <w:i/>
                <w:sz w:val="24"/>
              </w:rPr>
              <w:t>процента.</w:t>
            </w:r>
          </w:p>
        </w:tc>
      </w:tr>
      <w:tr w:rsidR="0051065C" w:rsidRPr="00C44EE6" w14:paraId="04A8556B" w14:textId="77777777" w:rsidTr="00F45C31">
        <w:tc>
          <w:tcPr>
            <w:tcW w:w="4677" w:type="dxa"/>
          </w:tcPr>
          <w:p w14:paraId="5AC3337A" w14:textId="60372926" w:rsidR="0051065C" w:rsidRPr="00C44EE6" w:rsidRDefault="0051065C" w:rsidP="0051065C">
            <w:pPr>
              <w:ind w:firstLine="708"/>
              <w:jc w:val="both"/>
              <w:rPr>
                <w:sz w:val="24"/>
              </w:rPr>
            </w:pPr>
            <w:r w:rsidRPr="00C44EE6">
              <w:rPr>
                <w:sz w:val="24"/>
              </w:rPr>
              <w:t>20</w:t>
            </w:r>
            <w:r w:rsidRPr="00C44EE6">
              <w:rPr>
                <w:sz w:val="24"/>
                <w:lang w:val="ky-KG"/>
              </w:rPr>
              <w:t>2</w:t>
            </w:r>
            <w:r w:rsidRPr="00C44EE6">
              <w:rPr>
                <w:sz w:val="24"/>
              </w:rPr>
              <w:t xml:space="preserve">4-жылы </w:t>
            </w:r>
            <w:proofErr w:type="spellStart"/>
            <w:r w:rsidRPr="00C44EE6">
              <w:rPr>
                <w:sz w:val="24"/>
              </w:rPr>
              <w:t>ортомчулук</w:t>
            </w:r>
            <w:proofErr w:type="spellEnd"/>
            <w:r w:rsidRPr="00C44EE6">
              <w:rPr>
                <w:sz w:val="24"/>
              </w:rPr>
              <w:t xml:space="preserve"> </w:t>
            </w:r>
            <w:proofErr w:type="spellStart"/>
            <w:r w:rsidRPr="00C44EE6">
              <w:rPr>
                <w:sz w:val="24"/>
              </w:rPr>
              <w:t>кызматтар</w:t>
            </w:r>
            <w:proofErr w:type="spellEnd"/>
            <w:r w:rsidRPr="00C44EE6">
              <w:rPr>
                <w:sz w:val="24"/>
              </w:rPr>
              <w:t xml:space="preserve"> </w:t>
            </w:r>
            <w:r w:rsidRPr="00C44EE6">
              <w:rPr>
                <w:sz w:val="24"/>
                <w:lang w:val="ky-KG"/>
              </w:rPr>
              <w:t xml:space="preserve">н </w:t>
            </w:r>
            <w:r w:rsidRPr="00C44EE6">
              <w:rPr>
                <w:sz w:val="24"/>
              </w:rPr>
              <w:t>144050</w:t>
            </w:r>
            <w:r w:rsidRPr="00C44EE6">
              <w:rPr>
                <w:sz w:val="24"/>
                <w:lang w:val="ky-KG"/>
              </w:rPr>
              <w:t>,0</w:t>
            </w:r>
            <w:r w:rsidRPr="00C44EE6">
              <w:rPr>
                <w:sz w:val="24"/>
              </w:rPr>
              <w:t xml:space="preserve"> млн.</w:t>
            </w:r>
            <w:r w:rsidRPr="00C44EE6">
              <w:rPr>
                <w:sz w:val="24"/>
                <w:lang w:val="ky-KG"/>
              </w:rPr>
              <w:t xml:space="preserve"> </w:t>
            </w:r>
            <w:proofErr w:type="spellStart"/>
            <w:r w:rsidRPr="00C44EE6">
              <w:rPr>
                <w:sz w:val="24"/>
              </w:rPr>
              <w:t>сомго</w:t>
            </w:r>
            <w:proofErr w:type="spellEnd"/>
            <w:r w:rsidRPr="00C44EE6">
              <w:rPr>
                <w:sz w:val="24"/>
              </w:rPr>
              <w:t xml:space="preserve"> же </w:t>
            </w:r>
            <w:r w:rsidRPr="00C44EE6">
              <w:rPr>
                <w:sz w:val="24"/>
                <w:lang w:val="ky-KG"/>
              </w:rPr>
              <w:t>жалпы көлөмдүн 61,7</w:t>
            </w:r>
            <w:r w:rsidRPr="00C44EE6">
              <w:rPr>
                <w:sz w:val="24"/>
              </w:rPr>
              <w:t xml:space="preserve"> </w:t>
            </w:r>
            <w:proofErr w:type="spellStart"/>
            <w:r w:rsidRPr="00C44EE6">
              <w:rPr>
                <w:sz w:val="24"/>
              </w:rPr>
              <w:t>пайыз</w:t>
            </w:r>
            <w:proofErr w:type="spellEnd"/>
            <w:r w:rsidRPr="00C44EE6">
              <w:rPr>
                <w:sz w:val="24"/>
                <w:lang w:val="ky-KG"/>
              </w:rPr>
              <w:t>ын түзгөн</w:t>
            </w:r>
            <w:r w:rsidRPr="00C44EE6">
              <w:rPr>
                <w:sz w:val="24"/>
              </w:rPr>
              <w:t xml:space="preserve">. </w:t>
            </w:r>
          </w:p>
        </w:tc>
        <w:tc>
          <w:tcPr>
            <w:tcW w:w="4820" w:type="dxa"/>
          </w:tcPr>
          <w:p w14:paraId="0D9ABF44" w14:textId="4C9C9A3C" w:rsidR="0051065C" w:rsidRPr="00C44EE6" w:rsidRDefault="0051065C" w:rsidP="0051065C">
            <w:pPr>
              <w:ind w:firstLine="708"/>
              <w:jc w:val="both"/>
              <w:rPr>
                <w:i/>
                <w:sz w:val="24"/>
              </w:rPr>
            </w:pPr>
            <w:r w:rsidRPr="00C44EE6">
              <w:rPr>
                <w:i/>
                <w:sz w:val="24"/>
              </w:rPr>
              <w:t>Объем оптовой торговли в 20</w:t>
            </w:r>
            <w:r w:rsidRPr="00C44EE6">
              <w:rPr>
                <w:i/>
                <w:sz w:val="24"/>
                <w:lang w:val="ky-KG"/>
              </w:rPr>
              <w:t>2</w:t>
            </w:r>
            <w:r w:rsidRPr="00C44EE6">
              <w:rPr>
                <w:i/>
                <w:sz w:val="24"/>
              </w:rPr>
              <w:t>4 г</w:t>
            </w:r>
            <w:r w:rsidRPr="00C44EE6">
              <w:rPr>
                <w:i/>
                <w:sz w:val="24"/>
                <w:lang w:val="ky-KG"/>
              </w:rPr>
              <w:t>ода</w:t>
            </w:r>
            <w:r w:rsidRPr="00C44EE6">
              <w:rPr>
                <w:i/>
                <w:sz w:val="24"/>
              </w:rPr>
              <w:t xml:space="preserve">. </w:t>
            </w:r>
            <w:r w:rsidRPr="00C44EE6">
              <w:rPr>
                <w:i/>
                <w:sz w:val="24"/>
                <w:lang w:val="ky-KG"/>
              </w:rPr>
              <w:t>составила</w:t>
            </w:r>
            <w:r w:rsidRPr="00C44EE6">
              <w:rPr>
                <w:i/>
                <w:sz w:val="24"/>
              </w:rPr>
              <w:t xml:space="preserve"> 144050,0 млн. сомов</w:t>
            </w:r>
            <w:r w:rsidRPr="00C44EE6">
              <w:rPr>
                <w:i/>
                <w:sz w:val="24"/>
                <w:lang w:val="ky-KG"/>
              </w:rPr>
              <w:t>, от общего объема 61,7 процента</w:t>
            </w:r>
            <w:r w:rsidRPr="00C44EE6">
              <w:rPr>
                <w:i/>
                <w:sz w:val="24"/>
              </w:rPr>
              <w:t xml:space="preserve"> объема продаж </w:t>
            </w:r>
          </w:p>
        </w:tc>
      </w:tr>
    </w:tbl>
    <w:p w14:paraId="48E1A8D0" w14:textId="77777777" w:rsidR="000A1019" w:rsidRPr="00C44EE6" w:rsidRDefault="000A1019" w:rsidP="000A1019">
      <w:pPr>
        <w:jc w:val="both"/>
      </w:pPr>
    </w:p>
    <w:tbl>
      <w:tblPr>
        <w:tblW w:w="9497" w:type="dxa"/>
        <w:tblInd w:w="250" w:type="dxa"/>
        <w:tblLook w:val="04A0" w:firstRow="1" w:lastRow="0" w:firstColumn="1" w:lastColumn="0" w:noHBand="0" w:noVBand="1"/>
      </w:tblPr>
      <w:tblGrid>
        <w:gridCol w:w="4677"/>
        <w:gridCol w:w="4820"/>
      </w:tblGrid>
      <w:tr w:rsidR="00C44EE6" w:rsidRPr="00C44EE6" w14:paraId="5663F915" w14:textId="77777777" w:rsidTr="00F45C31">
        <w:tc>
          <w:tcPr>
            <w:tcW w:w="4677" w:type="dxa"/>
          </w:tcPr>
          <w:p w14:paraId="1415FD38" w14:textId="77777777" w:rsidR="000A1019" w:rsidRPr="00C44EE6" w:rsidRDefault="000A1019" w:rsidP="000A1019">
            <w:pPr>
              <w:jc w:val="both"/>
              <w:rPr>
                <w:sz w:val="24"/>
                <w:lang w:val="ky-KG"/>
              </w:rPr>
            </w:pPr>
            <w:proofErr w:type="spellStart"/>
            <w:r w:rsidRPr="00C44EE6">
              <w:rPr>
                <w:b/>
                <w:sz w:val="24"/>
              </w:rPr>
              <w:t>Чекене</w:t>
            </w:r>
            <w:proofErr w:type="spellEnd"/>
            <w:r w:rsidRPr="00C44EE6">
              <w:rPr>
                <w:b/>
                <w:sz w:val="24"/>
              </w:rPr>
              <w:t xml:space="preserve"> </w:t>
            </w:r>
            <w:proofErr w:type="spellStart"/>
            <w:r w:rsidRPr="00C44EE6">
              <w:rPr>
                <w:b/>
                <w:sz w:val="24"/>
              </w:rPr>
              <w:t>соода-жүгүртүү</w:t>
            </w:r>
            <w:proofErr w:type="spellEnd"/>
            <w:r w:rsidRPr="00C44EE6">
              <w:rPr>
                <w:b/>
                <w:sz w:val="24"/>
              </w:rPr>
              <w:t xml:space="preserve"> </w:t>
            </w:r>
            <w:proofErr w:type="spellStart"/>
            <w:r w:rsidRPr="00C44EE6">
              <w:rPr>
                <w:b/>
                <w:sz w:val="24"/>
              </w:rPr>
              <w:t>көлөмүнүн</w:t>
            </w:r>
            <w:proofErr w:type="spellEnd"/>
            <w:r w:rsidRPr="00C44EE6">
              <w:rPr>
                <w:b/>
                <w:sz w:val="24"/>
              </w:rPr>
              <w:t xml:space="preserve"> </w:t>
            </w:r>
            <w:proofErr w:type="spellStart"/>
            <w:r w:rsidRPr="00C44EE6">
              <w:rPr>
                <w:b/>
                <w:sz w:val="24"/>
              </w:rPr>
              <w:t>түзүмү</w:t>
            </w:r>
            <w:proofErr w:type="spellEnd"/>
            <w:r w:rsidRPr="00C44EE6">
              <w:rPr>
                <w:sz w:val="24"/>
                <w:lang w:val="ky-KG"/>
              </w:rPr>
              <w:t xml:space="preserve"> </w:t>
            </w:r>
          </w:p>
          <w:p w14:paraId="2AA01607" w14:textId="77777777" w:rsidR="000A1019" w:rsidRPr="00C44EE6" w:rsidRDefault="000A1019" w:rsidP="000A1019">
            <w:pPr>
              <w:jc w:val="both"/>
              <w:rPr>
                <w:sz w:val="24"/>
              </w:rPr>
            </w:pPr>
            <w:r w:rsidRPr="00C44EE6">
              <w:rPr>
                <w:sz w:val="24"/>
              </w:rPr>
              <w:t>(</w:t>
            </w:r>
            <w:r w:rsidRPr="00C44EE6">
              <w:rPr>
                <w:sz w:val="24"/>
                <w:lang w:val="ky-KG"/>
              </w:rPr>
              <w:t>жыйынтыгы пайыз менен</w:t>
            </w:r>
            <w:r w:rsidRPr="00C44EE6">
              <w:rPr>
                <w:sz w:val="24"/>
              </w:rPr>
              <w:t>)</w:t>
            </w:r>
          </w:p>
        </w:tc>
        <w:tc>
          <w:tcPr>
            <w:tcW w:w="4820" w:type="dxa"/>
          </w:tcPr>
          <w:p w14:paraId="5A79C55C" w14:textId="77777777" w:rsidR="000A1019" w:rsidRPr="00C44EE6" w:rsidRDefault="000A1019" w:rsidP="000A1019">
            <w:pPr>
              <w:jc w:val="both"/>
              <w:rPr>
                <w:b/>
                <w:i/>
                <w:sz w:val="24"/>
              </w:rPr>
            </w:pPr>
            <w:r w:rsidRPr="00C44EE6">
              <w:rPr>
                <w:b/>
                <w:i/>
                <w:sz w:val="24"/>
              </w:rPr>
              <w:t>Структура объема розничного товарооборота</w:t>
            </w:r>
          </w:p>
          <w:p w14:paraId="0C954AD1" w14:textId="77777777" w:rsidR="000A1019" w:rsidRPr="00C44EE6" w:rsidRDefault="000A1019" w:rsidP="000A1019">
            <w:pPr>
              <w:jc w:val="both"/>
              <w:rPr>
                <w:sz w:val="24"/>
                <w:lang w:val="ky-KG"/>
              </w:rPr>
            </w:pPr>
            <w:r w:rsidRPr="00C44EE6">
              <w:rPr>
                <w:i/>
                <w:sz w:val="24"/>
              </w:rPr>
              <w:t>(в процентах к итогу</w:t>
            </w:r>
            <w:r w:rsidRPr="00C44EE6">
              <w:rPr>
                <w:i/>
                <w:sz w:val="24"/>
                <w:lang w:val="ky-KG"/>
              </w:rPr>
              <w:t>)</w:t>
            </w:r>
          </w:p>
        </w:tc>
      </w:tr>
    </w:tbl>
    <w:p w14:paraId="54578D91" w14:textId="202B619E" w:rsidR="000A1019" w:rsidRPr="00C44EE6" w:rsidRDefault="0051065C" w:rsidP="000A1019">
      <w:pPr>
        <w:ind w:firstLine="708"/>
        <w:jc w:val="both"/>
        <w:rPr>
          <w:b/>
          <w:sz w:val="24"/>
        </w:rPr>
      </w:pPr>
      <w:r w:rsidRPr="00C44EE6">
        <w:rPr>
          <w:noProof/>
        </w:rPr>
        <w:drawing>
          <wp:anchor distT="0" distB="0" distL="114300" distR="114300" simplePos="0" relativeHeight="251770880" behindDoc="0" locked="0" layoutInCell="1" allowOverlap="1" wp14:anchorId="3B4CAD63" wp14:editId="2C4899DB">
            <wp:simplePos x="0" y="0"/>
            <wp:positionH relativeFrom="column">
              <wp:posOffset>400050</wp:posOffset>
            </wp:positionH>
            <wp:positionV relativeFrom="paragraph">
              <wp:posOffset>170815</wp:posOffset>
            </wp:positionV>
            <wp:extent cx="5499735" cy="1950720"/>
            <wp:effectExtent l="0" t="0" r="5715" b="0"/>
            <wp:wrapTopAndBottom/>
            <wp:docPr id="10" name="Объект 14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14:paraId="3DDEE5F1" w14:textId="0184153E" w:rsidR="000A1019" w:rsidRPr="00C44EE6" w:rsidRDefault="000A1019" w:rsidP="000A1019">
      <w:pPr>
        <w:jc w:val="both"/>
        <w:rPr>
          <w:sz w:val="24"/>
        </w:rPr>
      </w:pPr>
    </w:p>
    <w:tbl>
      <w:tblPr>
        <w:tblW w:w="9497" w:type="dxa"/>
        <w:tblInd w:w="250" w:type="dxa"/>
        <w:tblLook w:val="04A0" w:firstRow="1" w:lastRow="0" w:firstColumn="1" w:lastColumn="0" w:noHBand="0" w:noVBand="1"/>
      </w:tblPr>
      <w:tblGrid>
        <w:gridCol w:w="4677"/>
        <w:gridCol w:w="4820"/>
      </w:tblGrid>
      <w:tr w:rsidR="000A1019" w:rsidRPr="00C44EE6" w14:paraId="63108147" w14:textId="77777777" w:rsidTr="00F45C31">
        <w:tc>
          <w:tcPr>
            <w:tcW w:w="4677" w:type="dxa"/>
          </w:tcPr>
          <w:p w14:paraId="2B282877" w14:textId="714C5E91" w:rsidR="000A1019" w:rsidRPr="00C44EE6" w:rsidRDefault="0051065C" w:rsidP="000A1019">
            <w:pPr>
              <w:tabs>
                <w:tab w:val="left" w:pos="6195"/>
              </w:tabs>
              <w:ind w:firstLine="708"/>
              <w:jc w:val="both"/>
              <w:rPr>
                <w:sz w:val="24"/>
                <w:lang w:val="ky-KG"/>
              </w:rPr>
            </w:pPr>
            <w:proofErr w:type="spellStart"/>
            <w:r w:rsidRPr="00C44EE6">
              <w:rPr>
                <w:sz w:val="24"/>
              </w:rPr>
              <w:t>Соодадагы</w:t>
            </w:r>
            <w:proofErr w:type="spellEnd"/>
            <w:r w:rsidRPr="00C44EE6">
              <w:rPr>
                <w:sz w:val="24"/>
              </w:rPr>
              <w:t xml:space="preserve"> </w:t>
            </w:r>
            <w:proofErr w:type="spellStart"/>
            <w:r w:rsidRPr="00C44EE6">
              <w:rPr>
                <w:sz w:val="24"/>
              </w:rPr>
              <w:t>мамлекеттик</w:t>
            </w:r>
            <w:proofErr w:type="spellEnd"/>
            <w:r w:rsidRPr="00C44EE6">
              <w:rPr>
                <w:sz w:val="24"/>
              </w:rPr>
              <w:t xml:space="preserve"> </w:t>
            </w:r>
            <w:proofErr w:type="spellStart"/>
            <w:r w:rsidRPr="00C44EE6">
              <w:rPr>
                <w:sz w:val="24"/>
              </w:rPr>
              <w:t>эмес</w:t>
            </w:r>
            <w:proofErr w:type="spellEnd"/>
            <w:r w:rsidRPr="00C44EE6">
              <w:rPr>
                <w:sz w:val="24"/>
              </w:rPr>
              <w:t xml:space="preserve"> сектор </w:t>
            </w:r>
            <w:proofErr w:type="spellStart"/>
            <w:r w:rsidRPr="00C44EE6">
              <w:rPr>
                <w:sz w:val="24"/>
              </w:rPr>
              <w:t>үстөмдүк</w:t>
            </w:r>
            <w:proofErr w:type="spellEnd"/>
            <w:r w:rsidRPr="00C44EE6">
              <w:rPr>
                <w:sz w:val="24"/>
              </w:rPr>
              <w:t xml:space="preserve"> </w:t>
            </w:r>
            <w:proofErr w:type="spellStart"/>
            <w:r w:rsidRPr="00C44EE6">
              <w:rPr>
                <w:sz w:val="24"/>
              </w:rPr>
              <w:t>абалды</w:t>
            </w:r>
            <w:proofErr w:type="spellEnd"/>
            <w:r w:rsidRPr="00C44EE6">
              <w:rPr>
                <w:sz w:val="24"/>
              </w:rPr>
              <w:t xml:space="preserve"> </w:t>
            </w:r>
            <w:proofErr w:type="spellStart"/>
            <w:r w:rsidRPr="00C44EE6">
              <w:rPr>
                <w:sz w:val="24"/>
              </w:rPr>
              <w:t>ээлейт</w:t>
            </w:r>
            <w:proofErr w:type="spellEnd"/>
            <w:r w:rsidRPr="00C44EE6">
              <w:rPr>
                <w:sz w:val="24"/>
              </w:rPr>
              <w:t xml:space="preserve"> </w:t>
            </w:r>
            <w:proofErr w:type="spellStart"/>
            <w:r w:rsidRPr="00C44EE6">
              <w:rPr>
                <w:sz w:val="24"/>
              </w:rPr>
              <w:t>жана</w:t>
            </w:r>
            <w:proofErr w:type="spellEnd"/>
            <w:r w:rsidRPr="00C44EE6">
              <w:rPr>
                <w:sz w:val="24"/>
              </w:rPr>
              <w:t xml:space="preserve"> </w:t>
            </w:r>
            <w:proofErr w:type="spellStart"/>
            <w:r w:rsidRPr="00C44EE6">
              <w:rPr>
                <w:sz w:val="24"/>
              </w:rPr>
              <w:t>анын</w:t>
            </w:r>
            <w:proofErr w:type="spellEnd"/>
            <w:r w:rsidRPr="00C44EE6">
              <w:rPr>
                <w:sz w:val="24"/>
              </w:rPr>
              <w:t xml:space="preserve"> </w:t>
            </w:r>
            <w:proofErr w:type="spellStart"/>
            <w:r w:rsidRPr="00C44EE6">
              <w:rPr>
                <w:sz w:val="24"/>
              </w:rPr>
              <w:t>салыштырма</w:t>
            </w:r>
            <w:proofErr w:type="spellEnd"/>
            <w:r w:rsidRPr="00C44EE6">
              <w:rPr>
                <w:sz w:val="24"/>
              </w:rPr>
              <w:t xml:space="preserve"> </w:t>
            </w:r>
            <w:proofErr w:type="spellStart"/>
            <w:r w:rsidRPr="00C44EE6">
              <w:rPr>
                <w:sz w:val="24"/>
              </w:rPr>
              <w:t>салмагы</w:t>
            </w:r>
            <w:proofErr w:type="spellEnd"/>
            <w:r w:rsidRPr="00C44EE6">
              <w:rPr>
                <w:sz w:val="24"/>
              </w:rPr>
              <w:t xml:space="preserve"> 2020–20</w:t>
            </w:r>
            <w:r w:rsidRPr="00C44EE6">
              <w:rPr>
                <w:sz w:val="24"/>
                <w:lang w:val="ky-KG"/>
              </w:rPr>
              <w:t>2</w:t>
            </w:r>
            <w:r w:rsidRPr="00C44EE6">
              <w:rPr>
                <w:sz w:val="24"/>
              </w:rPr>
              <w:t xml:space="preserve">4-жылдары 99,9 </w:t>
            </w:r>
            <w:proofErr w:type="spellStart"/>
            <w:r w:rsidRPr="00C44EE6">
              <w:rPr>
                <w:sz w:val="24"/>
              </w:rPr>
              <w:t>пайызды</w:t>
            </w:r>
            <w:proofErr w:type="spellEnd"/>
            <w:r w:rsidRPr="00C44EE6">
              <w:rPr>
                <w:sz w:val="24"/>
              </w:rPr>
              <w:t xml:space="preserve"> </w:t>
            </w:r>
            <w:proofErr w:type="spellStart"/>
            <w:r w:rsidRPr="00C44EE6">
              <w:rPr>
                <w:sz w:val="24"/>
              </w:rPr>
              <w:t>түзгөн</w:t>
            </w:r>
            <w:proofErr w:type="spellEnd"/>
            <w:r w:rsidRPr="00C44EE6">
              <w:rPr>
                <w:sz w:val="24"/>
              </w:rPr>
              <w:t>.</w:t>
            </w:r>
          </w:p>
        </w:tc>
        <w:tc>
          <w:tcPr>
            <w:tcW w:w="4820" w:type="dxa"/>
          </w:tcPr>
          <w:p w14:paraId="3EA535DF" w14:textId="77196334" w:rsidR="000A1019" w:rsidRPr="00C44EE6" w:rsidRDefault="0051065C" w:rsidP="000A1019">
            <w:pPr>
              <w:tabs>
                <w:tab w:val="left" w:pos="6195"/>
              </w:tabs>
              <w:ind w:firstLine="708"/>
              <w:jc w:val="both"/>
              <w:rPr>
                <w:i/>
                <w:sz w:val="24"/>
              </w:rPr>
            </w:pPr>
            <w:r w:rsidRPr="00C44EE6">
              <w:rPr>
                <w:i/>
                <w:sz w:val="24"/>
              </w:rPr>
              <w:t>Негосударственный сектор в торговле занимает доминирующее положение и его удельный вес в 2020 – 20</w:t>
            </w:r>
            <w:r w:rsidRPr="00C44EE6">
              <w:rPr>
                <w:i/>
                <w:sz w:val="24"/>
                <w:lang w:val="ky-KG"/>
              </w:rPr>
              <w:t>2</w:t>
            </w:r>
            <w:r w:rsidRPr="00C44EE6">
              <w:rPr>
                <w:i/>
                <w:sz w:val="24"/>
              </w:rPr>
              <w:t xml:space="preserve">4 </w:t>
            </w:r>
            <w:proofErr w:type="spellStart"/>
            <w:r w:rsidRPr="00C44EE6">
              <w:rPr>
                <w:i/>
                <w:sz w:val="24"/>
              </w:rPr>
              <w:t>г.г</w:t>
            </w:r>
            <w:proofErr w:type="spellEnd"/>
            <w:r w:rsidRPr="00C44EE6">
              <w:rPr>
                <w:i/>
                <w:sz w:val="24"/>
              </w:rPr>
              <w:t>.   составил 99,9 процента.</w:t>
            </w:r>
          </w:p>
        </w:tc>
      </w:tr>
    </w:tbl>
    <w:p w14:paraId="34E36EAC" w14:textId="77777777" w:rsidR="00911BF5" w:rsidRPr="00C44EE6" w:rsidRDefault="00911BF5" w:rsidP="00911BF5">
      <w:pPr>
        <w:tabs>
          <w:tab w:val="left" w:pos="6195"/>
        </w:tabs>
        <w:ind w:firstLine="708"/>
        <w:jc w:val="both"/>
        <w:rPr>
          <w:b/>
          <w:sz w:val="24"/>
        </w:rPr>
      </w:pPr>
    </w:p>
    <w:tbl>
      <w:tblPr>
        <w:tblW w:w="9497" w:type="dxa"/>
        <w:tblInd w:w="250" w:type="dxa"/>
        <w:tblLook w:val="04A0" w:firstRow="1" w:lastRow="0" w:firstColumn="1" w:lastColumn="0" w:noHBand="0" w:noVBand="1"/>
      </w:tblPr>
      <w:tblGrid>
        <w:gridCol w:w="4677"/>
        <w:gridCol w:w="4820"/>
      </w:tblGrid>
      <w:tr w:rsidR="00C44EE6" w:rsidRPr="00C44EE6" w14:paraId="2B451B64" w14:textId="77777777" w:rsidTr="007F3C2A">
        <w:trPr>
          <w:trHeight w:val="1842"/>
        </w:trPr>
        <w:tc>
          <w:tcPr>
            <w:tcW w:w="4677" w:type="dxa"/>
          </w:tcPr>
          <w:p w14:paraId="0D168FF3" w14:textId="1921C464" w:rsidR="00302F18" w:rsidRPr="00C44EE6" w:rsidRDefault="00302F18" w:rsidP="00302F18">
            <w:pPr>
              <w:tabs>
                <w:tab w:val="left" w:pos="6195"/>
              </w:tabs>
              <w:ind w:firstLine="498"/>
              <w:jc w:val="both"/>
              <w:rPr>
                <w:sz w:val="24"/>
                <w:szCs w:val="24"/>
                <w:lang w:val="ky-KG"/>
              </w:rPr>
            </w:pPr>
            <w:proofErr w:type="spellStart"/>
            <w:r w:rsidRPr="00C44EE6">
              <w:rPr>
                <w:b/>
                <w:sz w:val="24"/>
                <w:szCs w:val="24"/>
              </w:rPr>
              <w:t>Тейл</w:t>
            </w:r>
            <w:proofErr w:type="spellEnd"/>
            <w:r w:rsidRPr="00C44EE6">
              <w:rPr>
                <w:b/>
                <w:sz w:val="24"/>
                <w:szCs w:val="24"/>
                <w:lang w:val="ky-KG"/>
              </w:rPr>
              <w:t>өө</w:t>
            </w:r>
            <w:r w:rsidRPr="00C44EE6">
              <w:rPr>
                <w:sz w:val="24"/>
                <w:szCs w:val="24"/>
              </w:rPr>
              <w:t xml:space="preserve">.  </w:t>
            </w:r>
            <w:r w:rsidRPr="00C44EE6">
              <w:rPr>
                <w:sz w:val="24"/>
                <w:szCs w:val="24"/>
                <w:lang w:val="ky-KG"/>
              </w:rPr>
              <w:t>С</w:t>
            </w:r>
            <w:proofErr w:type="spellStart"/>
            <w:r w:rsidRPr="00C44EE6">
              <w:rPr>
                <w:sz w:val="24"/>
                <w:szCs w:val="24"/>
              </w:rPr>
              <w:t>оода</w:t>
            </w:r>
            <w:proofErr w:type="spellEnd"/>
            <w:r w:rsidRPr="00C44EE6">
              <w:rPr>
                <w:sz w:val="24"/>
                <w:szCs w:val="24"/>
              </w:rPr>
              <w:t xml:space="preserve">, </w:t>
            </w:r>
            <w:proofErr w:type="spellStart"/>
            <w:r w:rsidRPr="00C44EE6">
              <w:rPr>
                <w:sz w:val="24"/>
                <w:szCs w:val="24"/>
              </w:rPr>
              <w:t>мейманкана</w:t>
            </w:r>
            <w:proofErr w:type="spellEnd"/>
            <w:r w:rsidRPr="00C44EE6">
              <w:rPr>
                <w:sz w:val="24"/>
                <w:szCs w:val="24"/>
              </w:rPr>
              <w:t xml:space="preserve"> </w:t>
            </w:r>
            <w:proofErr w:type="spellStart"/>
            <w:r w:rsidRPr="00C44EE6">
              <w:rPr>
                <w:sz w:val="24"/>
                <w:szCs w:val="24"/>
              </w:rPr>
              <w:t>жана</w:t>
            </w:r>
            <w:proofErr w:type="spellEnd"/>
            <w:r w:rsidRPr="00C44EE6">
              <w:rPr>
                <w:sz w:val="24"/>
                <w:szCs w:val="24"/>
              </w:rPr>
              <w:t xml:space="preserve"> </w:t>
            </w:r>
            <w:proofErr w:type="spellStart"/>
            <w:r w:rsidRPr="00C44EE6">
              <w:rPr>
                <w:sz w:val="24"/>
                <w:szCs w:val="24"/>
              </w:rPr>
              <w:t>ресторандарды</w:t>
            </w:r>
            <w:proofErr w:type="spellEnd"/>
            <w:r w:rsidRPr="00C44EE6">
              <w:rPr>
                <w:sz w:val="24"/>
                <w:szCs w:val="24"/>
                <w:lang w:val="ky-KG"/>
              </w:rPr>
              <w:t xml:space="preserve"> эске албаганда</w:t>
            </w:r>
            <w:r w:rsidRPr="00C44EE6">
              <w:rPr>
                <w:sz w:val="24"/>
                <w:szCs w:val="24"/>
              </w:rPr>
              <w:t xml:space="preserve">, </w:t>
            </w:r>
            <w:r w:rsidRPr="00C44EE6">
              <w:rPr>
                <w:sz w:val="24"/>
                <w:szCs w:val="24"/>
                <w:lang w:val="ky-KG"/>
              </w:rPr>
              <w:t xml:space="preserve"> чарбалык субъектилер облустук </w:t>
            </w:r>
            <w:r w:rsidRPr="00C44EE6">
              <w:rPr>
                <w:sz w:val="24"/>
                <w:szCs w:val="24"/>
              </w:rPr>
              <w:t>(</w:t>
            </w:r>
            <w:proofErr w:type="spellStart"/>
            <w:r w:rsidRPr="00C44EE6">
              <w:rPr>
                <w:sz w:val="24"/>
                <w:szCs w:val="24"/>
              </w:rPr>
              <w:t>юридикалык</w:t>
            </w:r>
            <w:proofErr w:type="spellEnd"/>
            <w:r w:rsidRPr="00C44EE6">
              <w:rPr>
                <w:sz w:val="24"/>
                <w:szCs w:val="24"/>
              </w:rPr>
              <w:t xml:space="preserve"> </w:t>
            </w:r>
            <w:proofErr w:type="spellStart"/>
            <w:r w:rsidRPr="00C44EE6">
              <w:rPr>
                <w:sz w:val="24"/>
                <w:szCs w:val="24"/>
              </w:rPr>
              <w:t>жана</w:t>
            </w:r>
            <w:proofErr w:type="spellEnd"/>
            <w:r w:rsidRPr="00C44EE6">
              <w:rPr>
                <w:sz w:val="24"/>
                <w:szCs w:val="24"/>
              </w:rPr>
              <w:t xml:space="preserve"> </w:t>
            </w:r>
            <w:proofErr w:type="spellStart"/>
            <w:r w:rsidRPr="00C44EE6">
              <w:rPr>
                <w:sz w:val="24"/>
                <w:szCs w:val="24"/>
              </w:rPr>
              <w:t>жеке</w:t>
            </w:r>
            <w:proofErr w:type="spellEnd"/>
            <w:r w:rsidRPr="00C44EE6">
              <w:rPr>
                <w:sz w:val="24"/>
                <w:szCs w:val="24"/>
              </w:rPr>
              <w:t xml:space="preserve"> </w:t>
            </w:r>
            <w:proofErr w:type="spellStart"/>
            <w:r w:rsidRPr="00C44EE6">
              <w:rPr>
                <w:sz w:val="24"/>
                <w:szCs w:val="24"/>
              </w:rPr>
              <w:t>жактар</w:t>
            </w:r>
            <w:proofErr w:type="spellEnd"/>
            <w:r w:rsidRPr="00C44EE6">
              <w:rPr>
                <w:sz w:val="24"/>
                <w:szCs w:val="24"/>
                <w:lang w:val="ky-KG"/>
              </w:rPr>
              <w:t>) тарабынан  берилген жалпы көрсөтүлгөн рыноктук кызматтардын көлөмү</w:t>
            </w:r>
            <w:r w:rsidRPr="00C44EE6">
              <w:rPr>
                <w:sz w:val="24"/>
                <w:szCs w:val="24"/>
              </w:rPr>
              <w:t xml:space="preserve"> 20</w:t>
            </w:r>
            <w:r w:rsidRPr="00C44EE6">
              <w:rPr>
                <w:sz w:val="24"/>
                <w:szCs w:val="24"/>
                <w:lang w:val="ky-KG"/>
              </w:rPr>
              <w:t>24</w:t>
            </w:r>
            <w:r w:rsidRPr="00C44EE6">
              <w:rPr>
                <w:sz w:val="24"/>
                <w:szCs w:val="24"/>
              </w:rPr>
              <w:t>-</w:t>
            </w:r>
            <w:proofErr w:type="spellStart"/>
            <w:r w:rsidRPr="00C44EE6">
              <w:rPr>
                <w:sz w:val="24"/>
                <w:szCs w:val="24"/>
              </w:rPr>
              <w:t>жылы</w:t>
            </w:r>
            <w:proofErr w:type="spellEnd"/>
            <w:r w:rsidRPr="00C44EE6">
              <w:rPr>
                <w:sz w:val="24"/>
                <w:szCs w:val="24"/>
              </w:rPr>
              <w:t xml:space="preserve"> </w:t>
            </w:r>
            <w:r w:rsidRPr="00C44EE6">
              <w:rPr>
                <w:sz w:val="24"/>
                <w:szCs w:val="24"/>
                <w:lang w:val="ky-KG"/>
              </w:rPr>
              <w:t>22492,6 млн. сомду түзүп, өткөн жылга салыштырмалуу 5,8 пайызга көбөйдү.</w:t>
            </w:r>
          </w:p>
        </w:tc>
        <w:tc>
          <w:tcPr>
            <w:tcW w:w="4820" w:type="dxa"/>
          </w:tcPr>
          <w:p w14:paraId="368F1C80" w14:textId="06C3EBCC" w:rsidR="00302F18" w:rsidRPr="00C44EE6" w:rsidRDefault="00302F18" w:rsidP="00302F18">
            <w:pPr>
              <w:ind w:firstLine="489"/>
              <w:jc w:val="both"/>
              <w:rPr>
                <w:sz w:val="24"/>
                <w:szCs w:val="24"/>
              </w:rPr>
            </w:pPr>
            <w:r w:rsidRPr="00C44EE6">
              <w:rPr>
                <w:rStyle w:val="ae"/>
                <w:b/>
                <w:bCs/>
                <w:sz w:val="24"/>
                <w:szCs w:val="24"/>
              </w:rPr>
              <w:t>Услуги</w:t>
            </w:r>
            <w:r w:rsidRPr="00C44EE6">
              <w:rPr>
                <w:rStyle w:val="ae"/>
                <w:sz w:val="24"/>
                <w:szCs w:val="24"/>
              </w:rPr>
              <w:t xml:space="preserve">.  Общий объем оказанных рыночных услуг, исключая оборот торговли, гостиниц и ресторанов, предоставленных хозяйствующими субъектами области (юридическими и физическими лицами) </w:t>
            </w:r>
            <w:proofErr w:type="gramStart"/>
            <w:r w:rsidRPr="00C44EE6">
              <w:rPr>
                <w:rStyle w:val="ae"/>
                <w:sz w:val="24"/>
                <w:szCs w:val="24"/>
              </w:rPr>
              <w:t>в 2024 году</w:t>
            </w:r>
            <w:proofErr w:type="gramEnd"/>
            <w:r w:rsidRPr="00C44EE6">
              <w:rPr>
                <w:rStyle w:val="ae"/>
                <w:sz w:val="24"/>
                <w:szCs w:val="24"/>
              </w:rPr>
              <w:t xml:space="preserve"> составил</w:t>
            </w:r>
            <w:r w:rsidRPr="00C44EE6">
              <w:rPr>
                <w:rStyle w:val="ae"/>
                <w:sz w:val="24"/>
                <w:szCs w:val="24"/>
                <w:lang w:val="ky-KG"/>
              </w:rPr>
              <w:t>о</w:t>
            </w:r>
            <w:r w:rsidRPr="00C44EE6">
              <w:rPr>
                <w:rStyle w:val="ae"/>
                <w:sz w:val="24"/>
                <w:szCs w:val="24"/>
              </w:rPr>
              <w:t xml:space="preserve"> </w:t>
            </w:r>
            <w:r w:rsidRPr="00C44EE6">
              <w:rPr>
                <w:sz w:val="24"/>
                <w:szCs w:val="24"/>
                <w:lang w:val="ky-KG"/>
              </w:rPr>
              <w:t xml:space="preserve">22492,6 </w:t>
            </w:r>
            <w:r w:rsidRPr="00C44EE6">
              <w:rPr>
                <w:rStyle w:val="ae"/>
                <w:sz w:val="24"/>
                <w:szCs w:val="24"/>
              </w:rPr>
              <w:t>млн. сомов и по сравнению с прошлым годом увеличился на 5,</w:t>
            </w:r>
            <w:proofErr w:type="gramStart"/>
            <w:r w:rsidRPr="00C44EE6">
              <w:rPr>
                <w:rStyle w:val="ae"/>
                <w:sz w:val="24"/>
                <w:szCs w:val="24"/>
              </w:rPr>
              <w:t>8  процента</w:t>
            </w:r>
            <w:proofErr w:type="gramEnd"/>
            <w:r w:rsidRPr="00C44EE6">
              <w:rPr>
                <w:rStyle w:val="ae"/>
                <w:sz w:val="24"/>
                <w:szCs w:val="24"/>
              </w:rPr>
              <w:t>.</w:t>
            </w:r>
          </w:p>
        </w:tc>
      </w:tr>
      <w:tr w:rsidR="00C44EE6" w:rsidRPr="00C44EE6" w14:paraId="38E06226" w14:textId="77777777" w:rsidTr="007F3C2A">
        <w:trPr>
          <w:trHeight w:val="1842"/>
        </w:trPr>
        <w:tc>
          <w:tcPr>
            <w:tcW w:w="4677" w:type="dxa"/>
          </w:tcPr>
          <w:p w14:paraId="35202298" w14:textId="76203F5B" w:rsidR="00302F18" w:rsidRPr="00C44EE6" w:rsidRDefault="00302F18" w:rsidP="00302F18">
            <w:pPr>
              <w:tabs>
                <w:tab w:val="left" w:pos="6195"/>
              </w:tabs>
              <w:ind w:firstLine="498"/>
              <w:jc w:val="both"/>
              <w:rPr>
                <w:b/>
                <w:i/>
                <w:iCs/>
                <w:sz w:val="24"/>
              </w:rPr>
            </w:pPr>
            <w:r w:rsidRPr="00C44EE6">
              <w:rPr>
                <w:sz w:val="24"/>
                <w:szCs w:val="24"/>
                <w:lang w:val="ky-KG"/>
              </w:rPr>
              <w:t xml:space="preserve">Облустун чарба жүргүзүүчү субъект-тери тарабынан акыркы беш жылда берилген көрсөтүлгөн рыноктук кызмат көрсөтүүлөрдүн  жалпы көлөмүнүн өзгөрүү тенденциясы кызмат көрсөтүүнүн натый-жалуулугу жогорулагандыгын көрсөтүүдө. </w:t>
            </w:r>
          </w:p>
        </w:tc>
        <w:tc>
          <w:tcPr>
            <w:tcW w:w="4820" w:type="dxa"/>
          </w:tcPr>
          <w:p w14:paraId="0B50E150" w14:textId="30185868" w:rsidR="00302F18" w:rsidRPr="00C44EE6" w:rsidRDefault="00302F18" w:rsidP="00302F18">
            <w:pPr>
              <w:jc w:val="both"/>
              <w:rPr>
                <w:rStyle w:val="ae"/>
              </w:rPr>
            </w:pPr>
            <w:r w:rsidRPr="00C44EE6">
              <w:rPr>
                <w:i/>
                <w:iCs/>
                <w:sz w:val="24"/>
                <w:szCs w:val="24"/>
              </w:rPr>
              <w:t xml:space="preserve">Тенденция изменения общего объема оказанных рыночных услуг, </w:t>
            </w:r>
            <w:proofErr w:type="gramStart"/>
            <w:r w:rsidRPr="00C44EE6">
              <w:rPr>
                <w:i/>
                <w:iCs/>
                <w:sz w:val="24"/>
                <w:szCs w:val="24"/>
              </w:rPr>
              <w:t>предоставлен-</w:t>
            </w:r>
            <w:proofErr w:type="spellStart"/>
            <w:r w:rsidRPr="00C44EE6">
              <w:rPr>
                <w:i/>
                <w:iCs/>
                <w:sz w:val="24"/>
                <w:szCs w:val="24"/>
              </w:rPr>
              <w:t>ных</w:t>
            </w:r>
            <w:proofErr w:type="spellEnd"/>
            <w:proofErr w:type="gramEnd"/>
            <w:r w:rsidRPr="00C44EE6">
              <w:rPr>
                <w:i/>
                <w:iCs/>
                <w:sz w:val="24"/>
                <w:szCs w:val="24"/>
              </w:rPr>
              <w:t xml:space="preserve"> хозяйствующими субъектами области за последние пять лет, показывает, что эффективность услуг повышается. </w:t>
            </w:r>
          </w:p>
        </w:tc>
      </w:tr>
      <w:tr w:rsidR="00C44EE6" w:rsidRPr="00C44EE6" w14:paraId="1391907A" w14:textId="77777777" w:rsidTr="00C70988">
        <w:trPr>
          <w:trHeight w:val="80"/>
        </w:trPr>
        <w:tc>
          <w:tcPr>
            <w:tcW w:w="4677" w:type="dxa"/>
          </w:tcPr>
          <w:p w14:paraId="13222C77" w14:textId="0F50D879" w:rsidR="00302F18" w:rsidRPr="00C44EE6" w:rsidRDefault="00302F18" w:rsidP="00302F18">
            <w:pPr>
              <w:ind w:firstLine="498"/>
              <w:jc w:val="both"/>
              <w:rPr>
                <w:rStyle w:val="ae"/>
                <w:sz w:val="24"/>
                <w:szCs w:val="24"/>
                <w:lang w:val="ky-KG"/>
              </w:rPr>
            </w:pPr>
          </w:p>
        </w:tc>
        <w:tc>
          <w:tcPr>
            <w:tcW w:w="4820" w:type="dxa"/>
          </w:tcPr>
          <w:p w14:paraId="211090D9" w14:textId="4229E239" w:rsidR="00302F18" w:rsidRPr="00C44EE6" w:rsidRDefault="00302F18" w:rsidP="00302F18">
            <w:pPr>
              <w:ind w:firstLine="489"/>
              <w:jc w:val="both"/>
              <w:rPr>
                <w:rStyle w:val="ae"/>
                <w:i w:val="0"/>
                <w:iCs w:val="0"/>
                <w:sz w:val="24"/>
                <w:szCs w:val="24"/>
                <w:lang w:val="ky-KG"/>
              </w:rPr>
            </w:pPr>
          </w:p>
        </w:tc>
      </w:tr>
      <w:tr w:rsidR="00302F18" w:rsidRPr="00C44EE6" w14:paraId="22355219" w14:textId="77777777" w:rsidTr="007F3C2A">
        <w:tc>
          <w:tcPr>
            <w:tcW w:w="4677" w:type="dxa"/>
          </w:tcPr>
          <w:p w14:paraId="636DA6F1" w14:textId="77777777" w:rsidR="00302F18" w:rsidRPr="00C44EE6" w:rsidRDefault="00302F18" w:rsidP="00302F18">
            <w:pPr>
              <w:pStyle w:val="a8"/>
              <w:spacing w:after="0"/>
              <w:ind w:left="0"/>
              <w:jc w:val="center"/>
              <w:rPr>
                <w:b/>
                <w:sz w:val="24"/>
                <w:szCs w:val="24"/>
                <w:lang w:val="ky-KG"/>
              </w:rPr>
            </w:pPr>
            <w:r w:rsidRPr="00C44EE6">
              <w:rPr>
                <w:b/>
                <w:sz w:val="24"/>
                <w:szCs w:val="24"/>
                <w:lang w:val="ky-KG"/>
              </w:rPr>
              <w:t>Жалал-Абад облусу боюнча көрсөтүлгөн рыноктук кызматтын жалпы көлөмү</w:t>
            </w:r>
          </w:p>
          <w:p w14:paraId="00AA58CD" w14:textId="77777777" w:rsidR="00302F18" w:rsidRPr="00C44EE6" w:rsidRDefault="00302F18" w:rsidP="00302F18">
            <w:pPr>
              <w:pStyle w:val="a8"/>
              <w:spacing w:after="0"/>
              <w:ind w:left="0"/>
              <w:jc w:val="center"/>
              <w:rPr>
                <w:sz w:val="24"/>
                <w:lang w:val="ky-KG"/>
              </w:rPr>
            </w:pPr>
            <w:r w:rsidRPr="00C44EE6">
              <w:rPr>
                <w:sz w:val="24"/>
                <w:szCs w:val="24"/>
              </w:rPr>
              <w:t>(млн. сом</w:t>
            </w:r>
            <w:r w:rsidRPr="00C44EE6">
              <w:rPr>
                <w:sz w:val="24"/>
                <w:szCs w:val="24"/>
                <w:lang w:val="ky-KG"/>
              </w:rPr>
              <w:t>)</w:t>
            </w:r>
          </w:p>
        </w:tc>
        <w:tc>
          <w:tcPr>
            <w:tcW w:w="4820" w:type="dxa"/>
          </w:tcPr>
          <w:p w14:paraId="221D5D82" w14:textId="77777777" w:rsidR="00302F18" w:rsidRPr="00C44EE6" w:rsidRDefault="00302F18" w:rsidP="00302F18">
            <w:pPr>
              <w:pStyle w:val="a8"/>
              <w:spacing w:after="0"/>
              <w:ind w:left="0"/>
              <w:jc w:val="center"/>
              <w:rPr>
                <w:b/>
                <w:i/>
                <w:sz w:val="24"/>
                <w:szCs w:val="24"/>
              </w:rPr>
            </w:pPr>
            <w:r w:rsidRPr="00C44EE6">
              <w:rPr>
                <w:b/>
                <w:i/>
                <w:sz w:val="24"/>
                <w:szCs w:val="24"/>
              </w:rPr>
              <w:t xml:space="preserve">Общий объем оказанных рыночных услуг по </w:t>
            </w:r>
            <w:r w:rsidRPr="00C44EE6">
              <w:rPr>
                <w:b/>
                <w:i/>
                <w:sz w:val="24"/>
                <w:szCs w:val="24"/>
                <w:lang w:val="ky-KG"/>
              </w:rPr>
              <w:t xml:space="preserve">Джалал-Абадской </w:t>
            </w:r>
            <w:r w:rsidRPr="00C44EE6">
              <w:rPr>
                <w:b/>
                <w:i/>
                <w:sz w:val="24"/>
                <w:szCs w:val="24"/>
              </w:rPr>
              <w:t>области</w:t>
            </w:r>
          </w:p>
          <w:p w14:paraId="5B98FE12" w14:textId="77777777" w:rsidR="00302F18" w:rsidRPr="00C44EE6" w:rsidRDefault="00302F18" w:rsidP="00302F18">
            <w:pPr>
              <w:pStyle w:val="24"/>
              <w:jc w:val="right"/>
              <w:rPr>
                <w:i/>
                <w:sz w:val="24"/>
                <w:szCs w:val="24"/>
                <w:lang w:val="ky-KG"/>
              </w:rPr>
            </w:pPr>
          </w:p>
          <w:p w14:paraId="1757E693" w14:textId="77777777" w:rsidR="00302F18" w:rsidRPr="00C44EE6" w:rsidRDefault="00302F18" w:rsidP="00302F18">
            <w:pPr>
              <w:pStyle w:val="24"/>
              <w:jc w:val="right"/>
              <w:rPr>
                <w:i/>
                <w:sz w:val="24"/>
              </w:rPr>
            </w:pPr>
            <w:r w:rsidRPr="00C44EE6">
              <w:rPr>
                <w:i/>
                <w:sz w:val="24"/>
                <w:szCs w:val="24"/>
              </w:rPr>
              <w:t>(млн. сомов)</w:t>
            </w:r>
          </w:p>
        </w:tc>
      </w:tr>
    </w:tbl>
    <w:p w14:paraId="729B4180" w14:textId="77777777" w:rsidR="00F826F9" w:rsidRPr="00C44EE6" w:rsidRDefault="00F826F9" w:rsidP="00F826F9">
      <w:pPr>
        <w:rPr>
          <w:lang w:val="en-US"/>
        </w:rPr>
      </w:pPr>
    </w:p>
    <w:p w14:paraId="492CC316" w14:textId="77777777" w:rsidR="00F826F9" w:rsidRPr="00C44EE6" w:rsidRDefault="00F826F9" w:rsidP="00F826F9">
      <w:pPr>
        <w:rPr>
          <w:lang w:val="en-US"/>
        </w:rPr>
      </w:pPr>
    </w:p>
    <w:p w14:paraId="5544F8EF" w14:textId="4F018B58" w:rsidR="00F826F9" w:rsidRPr="00C44EE6" w:rsidRDefault="00F826F9" w:rsidP="00F826F9">
      <w:pPr>
        <w:rPr>
          <w:noProof/>
          <w:sz w:val="24"/>
          <w:szCs w:val="24"/>
          <w:lang w:val="ky-KG"/>
        </w:rPr>
      </w:pPr>
    </w:p>
    <w:p w14:paraId="737C97B0" w14:textId="77777777" w:rsidR="00516204" w:rsidRPr="00C44EE6" w:rsidRDefault="00516204" w:rsidP="00F826F9">
      <w:pPr>
        <w:rPr>
          <w:noProof/>
          <w:sz w:val="24"/>
          <w:szCs w:val="24"/>
          <w:lang w:val="ky-KG"/>
        </w:rPr>
      </w:pPr>
    </w:p>
    <w:p w14:paraId="1F4FE409" w14:textId="77777777" w:rsidR="00516204" w:rsidRPr="00C44EE6" w:rsidRDefault="00516204" w:rsidP="00F826F9">
      <w:pPr>
        <w:rPr>
          <w:noProof/>
          <w:sz w:val="24"/>
          <w:szCs w:val="24"/>
          <w:lang w:val="ky-KG"/>
        </w:rPr>
      </w:pPr>
    </w:p>
    <w:p w14:paraId="344A57D7" w14:textId="77777777" w:rsidR="00516204" w:rsidRPr="00C44EE6" w:rsidRDefault="00516204" w:rsidP="00F826F9">
      <w:pPr>
        <w:rPr>
          <w:noProof/>
          <w:sz w:val="24"/>
          <w:szCs w:val="24"/>
          <w:lang w:val="ky-KG"/>
        </w:rPr>
      </w:pPr>
    </w:p>
    <w:p w14:paraId="04EBEEE0" w14:textId="77777777" w:rsidR="00516204" w:rsidRPr="00C44EE6" w:rsidRDefault="00516204" w:rsidP="00F826F9">
      <w:pPr>
        <w:rPr>
          <w:noProof/>
          <w:sz w:val="24"/>
          <w:szCs w:val="24"/>
          <w:lang w:val="ky-KG"/>
        </w:rPr>
      </w:pPr>
    </w:p>
    <w:p w14:paraId="57A49DAA" w14:textId="6685B68C" w:rsidR="00516204" w:rsidRPr="00C44EE6" w:rsidRDefault="00516204" w:rsidP="00F826F9">
      <w:pPr>
        <w:rPr>
          <w:noProof/>
          <w:sz w:val="24"/>
          <w:szCs w:val="24"/>
          <w:lang w:val="ky-KG"/>
        </w:rPr>
      </w:pPr>
      <w:r w:rsidRPr="00C44EE6">
        <w:rPr>
          <w:noProof/>
          <w:sz w:val="24"/>
          <w:szCs w:val="24"/>
          <w:lang w:val="ky-KG"/>
        </w:rPr>
        <w:drawing>
          <wp:inline distT="0" distB="0" distL="0" distR="0" wp14:anchorId="3EB84EC5" wp14:editId="68A2BD68">
            <wp:extent cx="5969499" cy="2617470"/>
            <wp:effectExtent l="0" t="0" r="0" b="0"/>
            <wp:docPr id="101977842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88983" cy="2626013"/>
                    </a:xfrm>
                    <a:prstGeom prst="rect">
                      <a:avLst/>
                    </a:prstGeom>
                    <a:noFill/>
                  </pic:spPr>
                </pic:pic>
              </a:graphicData>
            </a:graphic>
          </wp:inline>
        </w:drawing>
      </w:r>
    </w:p>
    <w:p w14:paraId="267589A2" w14:textId="77777777" w:rsidR="00516204" w:rsidRPr="00C44EE6" w:rsidRDefault="00516204" w:rsidP="00F826F9">
      <w:pPr>
        <w:rPr>
          <w:noProof/>
          <w:sz w:val="24"/>
          <w:szCs w:val="24"/>
          <w:lang w:val="ky-KG"/>
        </w:rPr>
      </w:pPr>
    </w:p>
    <w:tbl>
      <w:tblPr>
        <w:tblW w:w="9497" w:type="dxa"/>
        <w:tblInd w:w="250" w:type="dxa"/>
        <w:tblLook w:val="04A0" w:firstRow="1" w:lastRow="0" w:firstColumn="1" w:lastColumn="0" w:noHBand="0" w:noVBand="1"/>
      </w:tblPr>
      <w:tblGrid>
        <w:gridCol w:w="4853"/>
        <w:gridCol w:w="4644"/>
      </w:tblGrid>
      <w:tr w:rsidR="00C44EE6" w:rsidRPr="00C44EE6" w14:paraId="1A1B4938" w14:textId="77777777" w:rsidTr="007F3C2A">
        <w:tc>
          <w:tcPr>
            <w:tcW w:w="4853" w:type="dxa"/>
          </w:tcPr>
          <w:p w14:paraId="520ECFC6" w14:textId="2772037E" w:rsidR="00302F18" w:rsidRPr="00C44EE6" w:rsidRDefault="00302F18" w:rsidP="00302F18">
            <w:pPr>
              <w:pStyle w:val="a8"/>
              <w:spacing w:after="0"/>
              <w:ind w:left="0"/>
              <w:jc w:val="both"/>
              <w:rPr>
                <w:sz w:val="24"/>
                <w:szCs w:val="24"/>
                <w:lang w:val="ky-KG"/>
              </w:rPr>
            </w:pPr>
            <w:r w:rsidRPr="00C44EE6">
              <w:rPr>
                <w:sz w:val="24"/>
                <w:szCs w:val="24"/>
                <w:lang w:val="ky-KG"/>
              </w:rPr>
              <w:t xml:space="preserve">     Көрсөтүлгөн рыноктук кызмат көрсөтүүлөрдүн жалпы көлөмүнөн, анын ичинен  калкка 22492,6  млн.сомго кызмат көрсөтүлгөн, бул көлөм 2023-жылга салыштырганда 22,2 пайызга көбөйгөн. 2024-жылы калкка көрсөтүлгөн кызматтын үлүшү рыноктук кызмат көрсөтүүлөрдүн жалпы көлөмүнүн 95,2 пайызын түздү,  бул 2020-жылга салыштырмалуу 2 эсеге  көп, (2020-жылы калкка көрсөтүлгөн кызмат көрсөтүүлөрдүн салыштырма салмагы 100,0 пайызды түзгөн).</w:t>
            </w:r>
          </w:p>
        </w:tc>
        <w:tc>
          <w:tcPr>
            <w:tcW w:w="4644" w:type="dxa"/>
          </w:tcPr>
          <w:p w14:paraId="1D45CECD" w14:textId="16E7DEF2" w:rsidR="00302F18" w:rsidRPr="00C44EE6" w:rsidRDefault="00302F18" w:rsidP="00302F18">
            <w:pPr>
              <w:pStyle w:val="a8"/>
              <w:spacing w:after="0"/>
              <w:ind w:left="0"/>
              <w:jc w:val="both"/>
              <w:rPr>
                <w:i/>
                <w:sz w:val="24"/>
              </w:rPr>
            </w:pPr>
            <w:r w:rsidRPr="00C44EE6">
              <w:rPr>
                <w:i/>
                <w:sz w:val="24"/>
                <w:szCs w:val="24"/>
                <w:lang w:val="ky-KG"/>
              </w:rPr>
              <w:t xml:space="preserve">      </w:t>
            </w:r>
            <w:r w:rsidRPr="00C44EE6">
              <w:rPr>
                <w:i/>
                <w:sz w:val="24"/>
                <w:szCs w:val="24"/>
              </w:rPr>
              <w:t xml:space="preserve">Из общего объема оказанных рыночных </w:t>
            </w:r>
            <w:proofErr w:type="gramStart"/>
            <w:r w:rsidRPr="00C44EE6">
              <w:rPr>
                <w:i/>
                <w:sz w:val="24"/>
                <w:szCs w:val="24"/>
              </w:rPr>
              <w:t>услуг</w:t>
            </w:r>
            <w:r w:rsidRPr="00C44EE6">
              <w:rPr>
                <w:i/>
                <w:sz w:val="24"/>
                <w:szCs w:val="24"/>
                <w:lang w:val="ky-KG"/>
              </w:rPr>
              <w:t xml:space="preserve"> </w:t>
            </w:r>
            <w:r w:rsidRPr="00C44EE6">
              <w:rPr>
                <w:i/>
                <w:sz w:val="24"/>
                <w:szCs w:val="24"/>
              </w:rPr>
              <w:t xml:space="preserve"> населению</w:t>
            </w:r>
            <w:proofErr w:type="gramEnd"/>
            <w:r w:rsidRPr="00C44EE6">
              <w:rPr>
                <w:i/>
                <w:sz w:val="24"/>
                <w:szCs w:val="24"/>
              </w:rPr>
              <w:t xml:space="preserve"> было оказано услуги на </w:t>
            </w:r>
            <w:r w:rsidRPr="00C44EE6">
              <w:rPr>
                <w:i/>
                <w:sz w:val="24"/>
                <w:szCs w:val="24"/>
                <w:lang w:val="ky-KG"/>
              </w:rPr>
              <w:t>22492,</w:t>
            </w:r>
            <w:proofErr w:type="gramStart"/>
            <w:r w:rsidRPr="00C44EE6">
              <w:rPr>
                <w:i/>
                <w:sz w:val="24"/>
                <w:szCs w:val="24"/>
                <w:lang w:val="ky-KG"/>
              </w:rPr>
              <w:t>6</w:t>
            </w:r>
            <w:r w:rsidRPr="00C44EE6">
              <w:rPr>
                <w:sz w:val="24"/>
                <w:szCs w:val="24"/>
                <w:lang w:val="ky-KG"/>
              </w:rPr>
              <w:t xml:space="preserve">  </w:t>
            </w:r>
            <w:r w:rsidRPr="00C44EE6">
              <w:rPr>
                <w:i/>
                <w:sz w:val="24"/>
                <w:szCs w:val="24"/>
              </w:rPr>
              <w:t>млн.</w:t>
            </w:r>
            <w:proofErr w:type="gramEnd"/>
            <w:r w:rsidRPr="00C44EE6">
              <w:rPr>
                <w:i/>
                <w:sz w:val="24"/>
                <w:szCs w:val="24"/>
              </w:rPr>
              <w:t xml:space="preserve"> сомов, объем у</w:t>
            </w:r>
            <w:r w:rsidRPr="00C44EE6">
              <w:rPr>
                <w:i/>
                <w:sz w:val="24"/>
                <w:szCs w:val="24"/>
                <w:lang w:val="ky-KG"/>
              </w:rPr>
              <w:t>величи</w:t>
            </w:r>
            <w:proofErr w:type="spellStart"/>
            <w:r w:rsidRPr="00C44EE6">
              <w:rPr>
                <w:i/>
                <w:sz w:val="24"/>
                <w:szCs w:val="24"/>
              </w:rPr>
              <w:t>лся</w:t>
            </w:r>
            <w:proofErr w:type="spellEnd"/>
            <w:r w:rsidRPr="00C44EE6">
              <w:rPr>
                <w:i/>
                <w:sz w:val="24"/>
                <w:szCs w:val="24"/>
                <w:lang w:val="ky-KG"/>
              </w:rPr>
              <w:t xml:space="preserve"> </w:t>
            </w:r>
            <w:r w:rsidRPr="00C44EE6">
              <w:rPr>
                <w:i/>
                <w:sz w:val="24"/>
                <w:szCs w:val="24"/>
              </w:rPr>
              <w:t xml:space="preserve">по сравнению </w:t>
            </w:r>
            <w:proofErr w:type="gramStart"/>
            <w:r w:rsidRPr="00C44EE6">
              <w:rPr>
                <w:i/>
                <w:sz w:val="24"/>
                <w:szCs w:val="24"/>
              </w:rPr>
              <w:t>с  прошлым</w:t>
            </w:r>
            <w:proofErr w:type="gramEnd"/>
            <w:r w:rsidRPr="00C44EE6">
              <w:rPr>
                <w:i/>
                <w:sz w:val="24"/>
                <w:szCs w:val="24"/>
              </w:rPr>
              <w:t xml:space="preserve"> годом</w:t>
            </w:r>
            <w:r w:rsidRPr="00C44EE6">
              <w:rPr>
                <w:i/>
                <w:sz w:val="24"/>
                <w:szCs w:val="24"/>
                <w:lang w:val="ky-KG"/>
              </w:rPr>
              <w:t xml:space="preserve"> на 22,</w:t>
            </w:r>
            <w:proofErr w:type="gramStart"/>
            <w:r w:rsidRPr="00C44EE6">
              <w:rPr>
                <w:i/>
                <w:sz w:val="24"/>
                <w:szCs w:val="24"/>
                <w:lang w:val="ky-KG"/>
              </w:rPr>
              <w:t xml:space="preserve">2 </w:t>
            </w:r>
            <w:r w:rsidRPr="00C44EE6">
              <w:rPr>
                <w:i/>
                <w:sz w:val="24"/>
                <w:szCs w:val="24"/>
              </w:rPr>
              <w:t xml:space="preserve"> процента</w:t>
            </w:r>
            <w:proofErr w:type="gramEnd"/>
            <w:r w:rsidRPr="00C44EE6">
              <w:rPr>
                <w:i/>
                <w:sz w:val="24"/>
                <w:szCs w:val="24"/>
                <w:lang w:val="ky-KG"/>
              </w:rPr>
              <w:t xml:space="preserve">.  </w:t>
            </w:r>
            <w:r w:rsidRPr="00C44EE6">
              <w:rPr>
                <w:i/>
                <w:sz w:val="24"/>
                <w:szCs w:val="24"/>
              </w:rPr>
              <w:t xml:space="preserve">Доля </w:t>
            </w:r>
            <w:r w:rsidRPr="00C44EE6">
              <w:rPr>
                <w:rFonts w:ascii="Times New Roman UniToktom" w:hAnsi="Times New Roman UniToktom" w:cs="Times New Roman UniToktom"/>
                <w:i/>
                <w:sz w:val="24"/>
                <w:szCs w:val="24"/>
              </w:rPr>
              <w:t>оказанных услуг населению в 20</w:t>
            </w:r>
            <w:r w:rsidRPr="00C44EE6">
              <w:rPr>
                <w:rFonts w:ascii="Times New Roman UniToktom" w:hAnsi="Times New Roman UniToktom" w:cs="Times New Roman UniToktom"/>
                <w:i/>
                <w:sz w:val="24"/>
                <w:szCs w:val="24"/>
                <w:lang w:val="ky-KG"/>
              </w:rPr>
              <w:t>24</w:t>
            </w:r>
            <w:r w:rsidRPr="00C44EE6">
              <w:rPr>
                <w:rFonts w:ascii="Times New Roman UniToktom" w:hAnsi="Times New Roman UniToktom" w:cs="Times New Roman UniToktom"/>
                <w:i/>
                <w:sz w:val="24"/>
                <w:szCs w:val="24"/>
              </w:rPr>
              <w:t xml:space="preserve"> году от общего объема</w:t>
            </w:r>
            <w:r w:rsidRPr="00C44EE6">
              <w:rPr>
                <w:i/>
                <w:sz w:val="24"/>
                <w:szCs w:val="24"/>
              </w:rPr>
              <w:t xml:space="preserve"> рыночных услуг</w:t>
            </w:r>
            <w:r w:rsidRPr="00C44EE6">
              <w:rPr>
                <w:rFonts w:ascii="Times New Roman UniToktom" w:hAnsi="Times New Roman UniToktom" w:cs="Times New Roman UniToktom"/>
                <w:i/>
                <w:sz w:val="24"/>
                <w:szCs w:val="24"/>
              </w:rPr>
              <w:t xml:space="preserve"> составил</w:t>
            </w:r>
            <w:r w:rsidRPr="00C44EE6">
              <w:rPr>
                <w:rFonts w:ascii="Times New Roman UniToktom" w:hAnsi="Times New Roman UniToktom" w:cs="Times New Roman UniToktom"/>
                <w:i/>
                <w:sz w:val="24"/>
                <w:szCs w:val="24"/>
                <w:lang w:val="ky-KG"/>
              </w:rPr>
              <w:t>о</w:t>
            </w:r>
            <w:r w:rsidRPr="00C44EE6">
              <w:rPr>
                <w:rFonts w:ascii="Times New Roman UniToktom" w:hAnsi="Times New Roman UniToktom" w:cs="Times New Roman UniToktom"/>
                <w:i/>
                <w:sz w:val="24"/>
                <w:szCs w:val="24"/>
              </w:rPr>
              <w:t xml:space="preserve"> 95,</w:t>
            </w:r>
            <w:r w:rsidRPr="00C44EE6">
              <w:rPr>
                <w:rFonts w:ascii="Times New Roman UniToktom" w:hAnsi="Times New Roman UniToktom" w:cs="Times New Roman UniToktom"/>
                <w:i/>
                <w:sz w:val="24"/>
                <w:szCs w:val="24"/>
                <w:lang w:val="ky-KG"/>
              </w:rPr>
              <w:t>2</w:t>
            </w:r>
            <w:r w:rsidRPr="00C44EE6">
              <w:rPr>
                <w:rFonts w:ascii="Times New Roman UniToktom" w:hAnsi="Times New Roman UniToktom" w:cs="Times New Roman UniToktom"/>
                <w:i/>
                <w:sz w:val="24"/>
                <w:szCs w:val="24"/>
              </w:rPr>
              <w:t xml:space="preserve"> процента, что больше на </w:t>
            </w:r>
            <w:r w:rsidRPr="00C44EE6">
              <w:rPr>
                <w:rFonts w:ascii="Times New Roman UniToktom" w:hAnsi="Times New Roman UniToktom" w:cs="Times New Roman UniToktom"/>
                <w:i/>
                <w:sz w:val="24"/>
                <w:szCs w:val="24"/>
                <w:lang w:val="ky-KG"/>
              </w:rPr>
              <w:t>2 (</w:t>
            </w:r>
            <w:proofErr w:type="gramStart"/>
            <w:r w:rsidRPr="00C44EE6">
              <w:rPr>
                <w:rFonts w:ascii="Times New Roman UniToktom" w:hAnsi="Times New Roman UniToktom" w:cs="Times New Roman UniToktom"/>
                <w:i/>
                <w:sz w:val="24"/>
                <w:szCs w:val="24"/>
                <w:lang w:val="ky-KG"/>
              </w:rPr>
              <w:t>раза)</w:t>
            </w:r>
            <w:r w:rsidRPr="00C44EE6">
              <w:rPr>
                <w:rFonts w:ascii="Times New Roman UniToktom" w:hAnsi="Times New Roman UniToktom" w:cs="Times New Roman UniToktom"/>
                <w:i/>
                <w:sz w:val="24"/>
                <w:szCs w:val="24"/>
              </w:rPr>
              <w:t xml:space="preserve"> </w:t>
            </w:r>
            <w:r w:rsidRPr="00C44EE6">
              <w:rPr>
                <w:rFonts w:ascii="Times New Roman UniToktom" w:hAnsi="Times New Roman UniToktom" w:cs="Times New Roman UniToktom"/>
                <w:i/>
                <w:sz w:val="24"/>
                <w:szCs w:val="24"/>
                <w:lang w:val="ky-KG"/>
              </w:rPr>
              <w:t xml:space="preserve"> больше</w:t>
            </w:r>
            <w:proofErr w:type="gramEnd"/>
            <w:r w:rsidRPr="00C44EE6">
              <w:rPr>
                <w:rFonts w:ascii="Times New Roman UniToktom" w:hAnsi="Times New Roman UniToktom" w:cs="Times New Roman UniToktom"/>
                <w:i/>
                <w:sz w:val="24"/>
                <w:szCs w:val="24"/>
              </w:rPr>
              <w:t xml:space="preserve"> по сравнению с 2020</w:t>
            </w:r>
            <w:r w:rsidRPr="00C44EE6">
              <w:rPr>
                <w:rFonts w:ascii="Times New Roman UniToktom" w:hAnsi="Times New Roman UniToktom" w:cs="Times New Roman UniToktom"/>
                <w:i/>
                <w:sz w:val="24"/>
                <w:szCs w:val="24"/>
                <w:lang w:val="ky-KG"/>
              </w:rPr>
              <w:t xml:space="preserve"> </w:t>
            </w:r>
            <w:proofErr w:type="gramStart"/>
            <w:r w:rsidRPr="00C44EE6">
              <w:rPr>
                <w:rFonts w:ascii="Times New Roman UniToktom" w:hAnsi="Times New Roman UniToktom" w:cs="Times New Roman UniToktom"/>
                <w:i/>
                <w:sz w:val="24"/>
                <w:szCs w:val="24"/>
              </w:rPr>
              <w:t>годом</w:t>
            </w:r>
            <w:r w:rsidRPr="00C44EE6">
              <w:rPr>
                <w:rFonts w:ascii="Times New Roman UniToktom" w:hAnsi="Times New Roman UniToktom" w:cs="Times New Roman UniToktom"/>
                <w:i/>
                <w:sz w:val="24"/>
                <w:szCs w:val="24"/>
                <w:lang w:val="ky-KG"/>
              </w:rPr>
              <w:t>,</w:t>
            </w:r>
            <w:r w:rsidRPr="00C44EE6">
              <w:rPr>
                <w:i/>
                <w:sz w:val="24"/>
                <w:szCs w:val="24"/>
              </w:rPr>
              <w:t xml:space="preserve">  удельный</w:t>
            </w:r>
            <w:proofErr w:type="gramEnd"/>
            <w:r w:rsidRPr="00C44EE6">
              <w:rPr>
                <w:i/>
                <w:sz w:val="24"/>
                <w:szCs w:val="24"/>
              </w:rPr>
              <w:t xml:space="preserve"> вес услуг, оказанных </w:t>
            </w:r>
            <w:proofErr w:type="gramStart"/>
            <w:r w:rsidRPr="00C44EE6">
              <w:rPr>
                <w:i/>
                <w:sz w:val="24"/>
                <w:szCs w:val="24"/>
              </w:rPr>
              <w:t>населению</w:t>
            </w:r>
            <w:proofErr w:type="gramEnd"/>
            <w:r w:rsidRPr="00C44EE6">
              <w:rPr>
                <w:i/>
                <w:sz w:val="24"/>
                <w:szCs w:val="24"/>
              </w:rPr>
              <w:t xml:space="preserve"> составил </w:t>
            </w:r>
            <w:r w:rsidRPr="00C44EE6">
              <w:rPr>
                <w:i/>
                <w:sz w:val="24"/>
                <w:szCs w:val="24"/>
                <w:lang w:val="ky-KG"/>
              </w:rPr>
              <w:t>100,0</w:t>
            </w:r>
            <w:r w:rsidRPr="00C44EE6">
              <w:rPr>
                <w:i/>
                <w:sz w:val="24"/>
                <w:szCs w:val="24"/>
              </w:rPr>
              <w:t xml:space="preserve"> процента.</w:t>
            </w:r>
          </w:p>
        </w:tc>
      </w:tr>
      <w:tr w:rsidR="00C44EE6" w:rsidRPr="00C44EE6" w14:paraId="236EC104" w14:textId="77777777" w:rsidTr="007F3C2A">
        <w:trPr>
          <w:trHeight w:val="567"/>
        </w:trPr>
        <w:tc>
          <w:tcPr>
            <w:tcW w:w="4853" w:type="dxa"/>
          </w:tcPr>
          <w:p w14:paraId="23D4AC68" w14:textId="0B022B7A" w:rsidR="00302F18" w:rsidRPr="00C44EE6" w:rsidRDefault="00302F18" w:rsidP="00302F18">
            <w:pPr>
              <w:pStyle w:val="a8"/>
              <w:spacing w:after="0"/>
              <w:ind w:left="0"/>
              <w:jc w:val="both"/>
              <w:rPr>
                <w:sz w:val="24"/>
                <w:szCs w:val="24"/>
                <w:lang w:val="ky-KG"/>
              </w:rPr>
            </w:pPr>
            <w:r w:rsidRPr="00C44EE6">
              <w:rPr>
                <w:sz w:val="24"/>
                <w:lang w:val="ky-KG"/>
              </w:rPr>
              <w:t xml:space="preserve">     Кызмат көрсөтүүлөрдүн көлөмү физикалык көлөмдө 2024-жыл боюнча транспорт ишмердиги жана жүктөрдү сактоо – 2836,7 млн. сомду түзүп, былтыркы жылга салыштырмалуу  7,6 пайызга, 2020-жылга салыштырмалуу алардын көлөмү 132,8 млн.сомго көбөйдү,  маалымат  жана байланыш 366,1 млн. сомду түзүп, өткөн жылга салыштырмалуу    41,3 пайызды түздү, 2020-жылга салыштырмалуу  алардын көлөмү 156,9 млн. сомго көбөйдү, кызмат көрсөтүүнүн административдик жана көмөкчү ишинин көлөмү 372,2 млн. сомду түзүп,  34,0 пайызды түздү, 2020-жылга салыштырмалуу 212,2 млн. сомго көбөйгөн, </w:t>
            </w:r>
            <w:r w:rsidRPr="00C44EE6">
              <w:rPr>
                <w:rFonts w:ascii="Times New Roman UniToktom" w:hAnsi="Times New Roman UniToktom" w:cs="Times New Roman UniToktom"/>
                <w:sz w:val="24"/>
                <w:szCs w:val="24"/>
                <w:lang w:val="ky-KG"/>
              </w:rPr>
              <w:t>кыймылсыз мүлк операцияларынын көлөмү жыл ичинде 767,9 млн.сомду түзүп,  бул 2024-жылга салыштырмалуу 27,0 пайызга көбөйгөн.  2020-жылга салыштырганда көлөмү 582,5 млн. сомго</w:t>
            </w:r>
            <w:r w:rsidRPr="00C44EE6">
              <w:rPr>
                <w:rFonts w:ascii="Times New Roman UniToktom" w:hAnsi="Times New Roman UniToktom" w:cs="Times New Roman UniToktom"/>
                <w:bCs/>
                <w:sz w:val="24"/>
                <w:szCs w:val="24"/>
                <w:lang w:val="ky-KG"/>
              </w:rPr>
              <w:t xml:space="preserve"> </w:t>
            </w:r>
            <w:r w:rsidRPr="00C44EE6">
              <w:rPr>
                <w:sz w:val="24"/>
                <w:lang w:val="ky-KG"/>
              </w:rPr>
              <w:t>көбөйгөн</w:t>
            </w:r>
            <w:r w:rsidRPr="00C44EE6">
              <w:rPr>
                <w:rFonts w:ascii="Times New Roman UniToktom" w:hAnsi="Times New Roman UniToktom" w:cs="Times New Roman UniToktom"/>
                <w:bCs/>
                <w:sz w:val="24"/>
                <w:szCs w:val="24"/>
                <w:lang w:val="ky-KG"/>
              </w:rPr>
              <w:t xml:space="preserve">.  </w:t>
            </w:r>
            <w:r w:rsidRPr="00C44EE6">
              <w:rPr>
                <w:sz w:val="24"/>
                <w:lang w:val="ky-KG"/>
              </w:rPr>
              <w:t>Кесиптик, илимий жана техникалык ишмердик</w:t>
            </w:r>
            <w:r w:rsidRPr="00C44EE6">
              <w:rPr>
                <w:rFonts w:ascii="Times New Roman UniToktom" w:hAnsi="Times New Roman UniToktom" w:cs="Times New Roman UniToktom"/>
                <w:sz w:val="24"/>
                <w:szCs w:val="24"/>
                <w:lang w:val="ky-KG"/>
              </w:rPr>
              <w:t xml:space="preserve"> көлөмү 4629,8 млн.сомду түзүп,</w:t>
            </w:r>
            <w:r w:rsidRPr="00C44EE6">
              <w:rPr>
                <w:sz w:val="24"/>
                <w:lang w:val="ky-KG"/>
              </w:rPr>
              <w:t xml:space="preserve"> өткөн жылга салыштырганда 20,2 пайызга көбөйгөн,   ал эми 2020-жылга салыштырганда </w:t>
            </w:r>
            <w:r w:rsidRPr="00C44EE6">
              <w:rPr>
                <w:rFonts w:ascii="Times New Roman UniToktom" w:hAnsi="Times New Roman UniToktom" w:cs="Times New Roman UniToktom"/>
                <w:sz w:val="24"/>
                <w:szCs w:val="24"/>
                <w:lang w:val="ky-KG"/>
              </w:rPr>
              <w:t>3939,9</w:t>
            </w:r>
            <w:r w:rsidRPr="00C44EE6">
              <w:rPr>
                <w:sz w:val="24"/>
                <w:lang w:val="ky-KG"/>
              </w:rPr>
              <w:t xml:space="preserve"> млн. сомго көбөйгөн.</w:t>
            </w:r>
            <w:r w:rsidRPr="00C44EE6">
              <w:rPr>
                <w:rFonts w:ascii="Times New Roman UniToktom" w:hAnsi="Times New Roman UniToktom" w:cs="Times New Roman UniToktom"/>
                <w:bCs/>
                <w:sz w:val="24"/>
                <w:szCs w:val="24"/>
                <w:lang w:val="ky-KG"/>
              </w:rPr>
              <w:t xml:space="preserve">  </w:t>
            </w:r>
            <w:r w:rsidRPr="00C44EE6">
              <w:rPr>
                <w:sz w:val="24"/>
                <w:lang w:val="ky-KG"/>
              </w:rPr>
              <w:t xml:space="preserve">Искусство, көңүл ачуу жана эс алуу кызматтарынын көлөмү  2024-жылы 409,5 млн.сомду түздү, өткөн жылга салыштырмалуу 53,3 пайызга  көбөйдү, ал эми 2020-жылга салыштырмалуу  327,5 млн. сомго көбөйгөн. </w:t>
            </w:r>
            <w:r w:rsidRPr="00C44EE6">
              <w:rPr>
                <w:rFonts w:ascii="Times New Roman UniToktom" w:hAnsi="Times New Roman UniToktom" w:cs="Times New Roman UniToktom"/>
                <w:bCs/>
                <w:sz w:val="24"/>
                <w:szCs w:val="24"/>
                <w:lang w:val="ky-KG"/>
              </w:rPr>
              <w:t>Б</w:t>
            </w:r>
            <w:r w:rsidRPr="00C44EE6">
              <w:rPr>
                <w:sz w:val="24"/>
                <w:lang w:val="ky-KG"/>
              </w:rPr>
              <w:t>ашка тейлөө ишмердиги боюнча кызмат көрсөтүүлөрдүн көлөмү  2024-жылы 2984,2 млн. сомго жетип өткөн жылга салыштырганда 40,8 пайызга көбөйдү, ал эми    2020-жылга салыштырмалуу  1873,2 млн. сомго көбөйгөн.</w:t>
            </w:r>
          </w:p>
        </w:tc>
        <w:tc>
          <w:tcPr>
            <w:tcW w:w="4644" w:type="dxa"/>
          </w:tcPr>
          <w:p w14:paraId="30E6DB10" w14:textId="0E436E57" w:rsidR="00302F18" w:rsidRPr="00C44EE6" w:rsidRDefault="00302F18" w:rsidP="00302F18">
            <w:pPr>
              <w:pStyle w:val="a8"/>
              <w:spacing w:after="0"/>
              <w:ind w:left="0"/>
              <w:jc w:val="both"/>
              <w:rPr>
                <w:i/>
                <w:sz w:val="24"/>
                <w:szCs w:val="24"/>
              </w:rPr>
            </w:pPr>
            <w:r w:rsidRPr="00C44EE6">
              <w:rPr>
                <w:i/>
                <w:sz w:val="24"/>
                <w:lang w:val="ky-KG"/>
              </w:rPr>
              <w:t xml:space="preserve">      О</w:t>
            </w:r>
            <w:proofErr w:type="spellStart"/>
            <w:r w:rsidRPr="00C44EE6">
              <w:rPr>
                <w:i/>
                <w:sz w:val="24"/>
              </w:rPr>
              <w:t>бъем</w:t>
            </w:r>
            <w:proofErr w:type="spellEnd"/>
            <w:r w:rsidRPr="00C44EE6">
              <w:rPr>
                <w:i/>
                <w:sz w:val="24"/>
                <w:lang w:val="ky-KG"/>
              </w:rPr>
              <w:t xml:space="preserve"> </w:t>
            </w:r>
            <w:r w:rsidRPr="00C44EE6">
              <w:rPr>
                <w:i/>
                <w:sz w:val="24"/>
              </w:rPr>
              <w:t xml:space="preserve"> услуг по видам экономической деятельности в физическом объеме 20</w:t>
            </w:r>
            <w:r w:rsidRPr="00C44EE6">
              <w:rPr>
                <w:i/>
                <w:sz w:val="24"/>
                <w:lang w:val="ky-KG"/>
              </w:rPr>
              <w:t>24</w:t>
            </w:r>
            <w:r w:rsidRPr="00C44EE6">
              <w:rPr>
                <w:i/>
                <w:sz w:val="24"/>
              </w:rPr>
              <w:t xml:space="preserve"> году по услугам </w:t>
            </w:r>
            <w:r w:rsidRPr="00C44EE6">
              <w:rPr>
                <w:i/>
                <w:sz w:val="24"/>
                <w:lang w:val="ky-KG"/>
              </w:rPr>
              <w:t xml:space="preserve">в </w:t>
            </w:r>
            <w:r w:rsidRPr="00C44EE6">
              <w:rPr>
                <w:i/>
                <w:sz w:val="24"/>
                <w:szCs w:val="24"/>
              </w:rPr>
              <w:t>транспортной деятельности и хранению грузов</w:t>
            </w:r>
            <w:r w:rsidRPr="00C44EE6">
              <w:rPr>
                <w:i/>
                <w:sz w:val="24"/>
              </w:rPr>
              <w:t xml:space="preserve"> –</w:t>
            </w:r>
            <w:r w:rsidRPr="00C44EE6">
              <w:rPr>
                <w:i/>
                <w:sz w:val="24"/>
                <w:lang w:val="ky-KG"/>
              </w:rPr>
              <w:t xml:space="preserve"> составило 2836,7 млн.сомов, и увеличился </w:t>
            </w:r>
            <w:r w:rsidRPr="00C44EE6">
              <w:rPr>
                <w:i/>
                <w:sz w:val="24"/>
              </w:rPr>
              <w:t xml:space="preserve"> на </w:t>
            </w:r>
            <w:r w:rsidRPr="00C44EE6">
              <w:rPr>
                <w:i/>
                <w:sz w:val="24"/>
                <w:lang w:val="ky-KG"/>
              </w:rPr>
              <w:t>7,6</w:t>
            </w:r>
            <w:r w:rsidRPr="00C44EE6">
              <w:rPr>
                <w:i/>
                <w:sz w:val="24"/>
              </w:rPr>
              <w:t xml:space="preserve"> процента</w:t>
            </w:r>
            <w:r w:rsidRPr="00C44EE6">
              <w:rPr>
                <w:sz w:val="24"/>
              </w:rPr>
              <w:t xml:space="preserve"> </w:t>
            </w:r>
            <w:r w:rsidRPr="00C44EE6">
              <w:rPr>
                <w:i/>
                <w:sz w:val="24"/>
              </w:rPr>
              <w:t xml:space="preserve">по сравнению с соответствующим периодом </w:t>
            </w:r>
            <w:proofErr w:type="spellStart"/>
            <w:r w:rsidRPr="00C44EE6">
              <w:rPr>
                <w:i/>
                <w:sz w:val="24"/>
              </w:rPr>
              <w:t>прошлог</w:t>
            </w:r>
            <w:proofErr w:type="spellEnd"/>
            <w:r w:rsidRPr="00C44EE6">
              <w:rPr>
                <w:i/>
                <w:sz w:val="24"/>
                <w:lang w:val="ky-KG"/>
              </w:rPr>
              <w:t>о</w:t>
            </w:r>
            <w:r w:rsidRPr="00C44EE6">
              <w:rPr>
                <w:i/>
                <w:sz w:val="24"/>
              </w:rPr>
              <w:t xml:space="preserve"> года</w:t>
            </w:r>
            <w:r w:rsidRPr="00C44EE6">
              <w:rPr>
                <w:i/>
                <w:sz w:val="24"/>
                <w:lang w:val="ky-KG"/>
              </w:rPr>
              <w:t>,</w:t>
            </w:r>
            <w:r w:rsidRPr="00C44EE6">
              <w:rPr>
                <w:i/>
                <w:sz w:val="24"/>
              </w:rPr>
              <w:t xml:space="preserve"> </w:t>
            </w:r>
            <w:r w:rsidRPr="00C44EE6">
              <w:rPr>
                <w:rFonts w:ascii="Times New Roman UniToktom" w:hAnsi="Times New Roman UniToktom" w:cs="Times New Roman UniToktom"/>
                <w:i/>
              </w:rPr>
              <w:t xml:space="preserve"> </w:t>
            </w:r>
            <w:r w:rsidRPr="00C44EE6">
              <w:rPr>
                <w:rFonts w:ascii="Times New Roman UniToktom" w:hAnsi="Times New Roman UniToktom" w:cs="Times New Roman UniToktom"/>
                <w:i/>
                <w:sz w:val="24"/>
                <w:szCs w:val="24"/>
              </w:rPr>
              <w:t xml:space="preserve">по сравнению с 2020 годом их объем </w:t>
            </w:r>
            <w:r w:rsidRPr="00C44EE6">
              <w:rPr>
                <w:rFonts w:ascii="Times New Roman UniToktom" w:hAnsi="Times New Roman UniToktom" w:cs="Times New Roman UniToktom"/>
                <w:i/>
                <w:sz w:val="24"/>
                <w:szCs w:val="24"/>
                <w:lang w:val="ky-KG"/>
              </w:rPr>
              <w:t>повысил</w:t>
            </w:r>
            <w:proofErr w:type="spellStart"/>
            <w:r w:rsidRPr="00C44EE6">
              <w:rPr>
                <w:rFonts w:ascii="Times New Roman UniToktom" w:hAnsi="Times New Roman UniToktom" w:cs="Times New Roman UniToktom"/>
                <w:i/>
                <w:sz w:val="24"/>
                <w:szCs w:val="24"/>
              </w:rPr>
              <w:t>ся</w:t>
            </w:r>
            <w:proofErr w:type="spellEnd"/>
            <w:r w:rsidRPr="00C44EE6">
              <w:rPr>
                <w:rFonts w:ascii="Times New Roman UniToktom" w:hAnsi="Times New Roman UniToktom" w:cs="Times New Roman UniToktom"/>
                <w:i/>
                <w:sz w:val="24"/>
                <w:szCs w:val="24"/>
              </w:rPr>
              <w:t xml:space="preserve"> на </w:t>
            </w:r>
            <w:r w:rsidRPr="00C44EE6">
              <w:rPr>
                <w:rFonts w:ascii="Times New Roman UniToktom" w:hAnsi="Times New Roman UniToktom" w:cs="Times New Roman UniToktom"/>
                <w:i/>
                <w:sz w:val="24"/>
                <w:szCs w:val="24"/>
                <w:lang w:val="ky-KG"/>
              </w:rPr>
              <w:t>132,8</w:t>
            </w:r>
            <w:r w:rsidRPr="00C44EE6">
              <w:rPr>
                <w:rFonts w:ascii="Times New Roman UniToktom" w:hAnsi="Times New Roman UniToktom" w:cs="Times New Roman UniToktom"/>
                <w:i/>
                <w:sz w:val="24"/>
                <w:szCs w:val="24"/>
              </w:rPr>
              <w:t xml:space="preserve"> млн. сомов,</w:t>
            </w:r>
            <w:r w:rsidRPr="00C44EE6">
              <w:rPr>
                <w:i/>
                <w:sz w:val="24"/>
              </w:rPr>
              <w:t xml:space="preserve"> по информации и связи </w:t>
            </w:r>
            <w:r w:rsidRPr="00C44EE6">
              <w:rPr>
                <w:i/>
                <w:sz w:val="24"/>
                <w:lang w:val="ky-KG"/>
              </w:rPr>
              <w:t xml:space="preserve">составило 41,3 процента </w:t>
            </w:r>
            <w:r w:rsidRPr="00C44EE6">
              <w:rPr>
                <w:rFonts w:ascii="Times New Roman UniToktom" w:hAnsi="Times New Roman UniToktom" w:cs="Times New Roman UniToktom"/>
                <w:i/>
                <w:sz w:val="24"/>
                <w:szCs w:val="24"/>
              </w:rPr>
              <w:t xml:space="preserve">составил </w:t>
            </w:r>
            <w:r w:rsidRPr="00C44EE6">
              <w:rPr>
                <w:rFonts w:ascii="Times New Roman UniToktom" w:hAnsi="Times New Roman UniToktom" w:cs="Times New Roman UniToktom"/>
                <w:i/>
                <w:sz w:val="24"/>
                <w:szCs w:val="24"/>
                <w:lang w:val="ky-KG"/>
              </w:rPr>
              <w:t>366,1</w:t>
            </w:r>
            <w:r w:rsidRPr="00C44EE6">
              <w:rPr>
                <w:rFonts w:ascii="Times New Roman UniToktom" w:hAnsi="Times New Roman UniToktom" w:cs="Times New Roman UniToktom"/>
                <w:i/>
                <w:sz w:val="24"/>
                <w:szCs w:val="24"/>
              </w:rPr>
              <w:t xml:space="preserve"> млн. сомов</w:t>
            </w:r>
            <w:r w:rsidRPr="00C44EE6">
              <w:rPr>
                <w:i/>
                <w:sz w:val="24"/>
              </w:rPr>
              <w:t>, п</w:t>
            </w:r>
            <w:r w:rsidRPr="00C44EE6">
              <w:rPr>
                <w:rFonts w:ascii="Times New Roman UniToktom" w:hAnsi="Times New Roman UniToktom" w:cs="Times New Roman UniToktom"/>
                <w:i/>
                <w:sz w:val="24"/>
                <w:szCs w:val="24"/>
              </w:rPr>
              <w:t xml:space="preserve">о сравнению с 2020 годом их объем увеличился на </w:t>
            </w:r>
            <w:r w:rsidRPr="00C44EE6">
              <w:rPr>
                <w:rFonts w:ascii="Times New Roman UniToktom" w:hAnsi="Times New Roman UniToktom" w:cs="Times New Roman UniToktom"/>
                <w:i/>
                <w:sz w:val="24"/>
                <w:szCs w:val="24"/>
                <w:lang w:val="ky-KG"/>
              </w:rPr>
              <w:t>156,9</w:t>
            </w:r>
            <w:r w:rsidRPr="00C44EE6">
              <w:rPr>
                <w:rFonts w:ascii="Times New Roman UniToktom" w:hAnsi="Times New Roman UniToktom" w:cs="Times New Roman UniToktom"/>
                <w:i/>
                <w:sz w:val="24"/>
                <w:szCs w:val="24"/>
              </w:rPr>
              <w:t xml:space="preserve"> млн. сомов</w:t>
            </w:r>
            <w:r w:rsidRPr="00C44EE6">
              <w:rPr>
                <w:rFonts w:ascii="Times New Roman UniToktom" w:hAnsi="Times New Roman UniToktom" w:cs="Times New Roman UniToktom"/>
                <w:i/>
              </w:rPr>
              <w:t xml:space="preserve">, </w:t>
            </w:r>
            <w:r w:rsidRPr="00C44EE6">
              <w:rPr>
                <w:rFonts w:ascii="Times New Roman UniToktom" w:hAnsi="Times New Roman UniToktom" w:cs="Times New Roman UniToktom"/>
                <w:i/>
                <w:sz w:val="24"/>
                <w:szCs w:val="24"/>
              </w:rPr>
              <w:t xml:space="preserve">услуги административной и вспомогательной деятельности </w:t>
            </w:r>
            <w:r w:rsidRPr="00C44EE6">
              <w:rPr>
                <w:rFonts w:ascii="Times New Roman UniToktom" w:hAnsi="Times New Roman UniToktom" w:cs="Times New Roman UniToktom"/>
                <w:i/>
                <w:sz w:val="24"/>
                <w:szCs w:val="24"/>
                <w:lang w:val="ky-KG"/>
              </w:rPr>
              <w:t xml:space="preserve">увеличилось </w:t>
            </w:r>
            <w:proofErr w:type="gramStart"/>
            <w:r w:rsidRPr="00C44EE6">
              <w:rPr>
                <w:rFonts w:ascii="Times New Roman UniToktom" w:hAnsi="Times New Roman UniToktom" w:cs="Times New Roman UniToktom"/>
                <w:i/>
                <w:sz w:val="24"/>
                <w:szCs w:val="24"/>
              </w:rPr>
              <w:t xml:space="preserve">на  </w:t>
            </w:r>
            <w:r w:rsidRPr="00C44EE6">
              <w:rPr>
                <w:rFonts w:ascii="Times New Roman UniToktom" w:hAnsi="Times New Roman UniToktom" w:cs="Times New Roman UniToktom"/>
                <w:i/>
                <w:sz w:val="24"/>
                <w:szCs w:val="24"/>
                <w:lang w:val="ky-KG"/>
              </w:rPr>
              <w:t>34</w:t>
            </w:r>
            <w:proofErr w:type="gramEnd"/>
            <w:r w:rsidRPr="00C44EE6">
              <w:rPr>
                <w:rFonts w:ascii="Times New Roman UniToktom" w:hAnsi="Times New Roman UniToktom" w:cs="Times New Roman UniToktom"/>
                <w:i/>
                <w:sz w:val="24"/>
                <w:szCs w:val="24"/>
                <w:lang w:val="ky-KG"/>
              </w:rPr>
              <w:t>,</w:t>
            </w:r>
            <w:proofErr w:type="gramStart"/>
            <w:r w:rsidRPr="00C44EE6">
              <w:rPr>
                <w:rFonts w:ascii="Times New Roman UniToktom" w:hAnsi="Times New Roman UniToktom" w:cs="Times New Roman UniToktom"/>
                <w:i/>
                <w:sz w:val="24"/>
                <w:szCs w:val="24"/>
                <w:lang w:val="ky-KG"/>
              </w:rPr>
              <w:t xml:space="preserve">0 </w:t>
            </w:r>
            <w:r w:rsidRPr="00C44EE6">
              <w:rPr>
                <w:rFonts w:ascii="Times New Roman UniToktom" w:hAnsi="Times New Roman UniToktom" w:cs="Times New Roman UniToktom"/>
                <w:i/>
                <w:sz w:val="24"/>
                <w:szCs w:val="24"/>
              </w:rPr>
              <w:t xml:space="preserve"> процента</w:t>
            </w:r>
            <w:proofErr w:type="gramEnd"/>
            <w:r w:rsidRPr="00C44EE6">
              <w:rPr>
                <w:rFonts w:ascii="Times New Roman UniToktom" w:hAnsi="Times New Roman UniToktom" w:cs="Times New Roman UniToktom"/>
                <w:i/>
                <w:sz w:val="24"/>
                <w:szCs w:val="24"/>
                <w:lang w:val="ky-KG"/>
              </w:rPr>
              <w:t xml:space="preserve"> по сравнению с прошлым годом</w:t>
            </w:r>
            <w:r w:rsidRPr="00C44EE6">
              <w:rPr>
                <w:rFonts w:ascii="Times New Roman UniToktom" w:hAnsi="Times New Roman UniToktom" w:cs="Times New Roman UniToktom"/>
                <w:i/>
                <w:sz w:val="24"/>
                <w:szCs w:val="24"/>
              </w:rPr>
              <w:t xml:space="preserve">, и составил </w:t>
            </w:r>
            <w:r w:rsidRPr="00C44EE6">
              <w:rPr>
                <w:rFonts w:ascii="Times New Roman UniToktom" w:hAnsi="Times New Roman UniToktom" w:cs="Times New Roman UniToktom"/>
                <w:i/>
                <w:sz w:val="24"/>
                <w:szCs w:val="24"/>
                <w:lang w:val="ky-KG"/>
              </w:rPr>
              <w:t xml:space="preserve">372,2 </w:t>
            </w:r>
            <w:r w:rsidRPr="00C44EE6">
              <w:rPr>
                <w:rFonts w:ascii="Times New Roman UniToktom" w:hAnsi="Times New Roman UniToktom" w:cs="Times New Roman UniToktom"/>
                <w:i/>
                <w:sz w:val="24"/>
                <w:szCs w:val="24"/>
              </w:rPr>
              <w:t>млн. сомов,</w:t>
            </w:r>
            <w:r w:rsidRPr="00C44EE6">
              <w:rPr>
                <w:rFonts w:ascii="Times New Roman UniToktom" w:hAnsi="Times New Roman UniToktom" w:cs="Times New Roman UniToktom"/>
                <w:i/>
                <w:sz w:val="24"/>
                <w:szCs w:val="24"/>
                <w:lang w:val="ky-KG"/>
              </w:rPr>
              <w:t xml:space="preserve"> а</w:t>
            </w:r>
            <w:r w:rsidRPr="00C44EE6">
              <w:rPr>
                <w:rFonts w:ascii="Times New Roman UniToktom" w:hAnsi="Times New Roman UniToktom" w:cs="Times New Roman UniToktom"/>
                <w:i/>
                <w:sz w:val="24"/>
                <w:szCs w:val="24"/>
              </w:rPr>
              <w:t xml:space="preserve"> по сравнению с 2020г. </w:t>
            </w:r>
            <w:r w:rsidRPr="00C44EE6">
              <w:rPr>
                <w:rFonts w:ascii="Times New Roman UniToktom" w:hAnsi="Times New Roman UniToktom" w:cs="Times New Roman UniToktom"/>
                <w:i/>
                <w:sz w:val="24"/>
                <w:szCs w:val="24"/>
                <w:lang w:val="ky-KG"/>
              </w:rPr>
              <w:t xml:space="preserve"> </w:t>
            </w:r>
            <w:r w:rsidRPr="00C44EE6">
              <w:rPr>
                <w:rFonts w:ascii="Times New Roman UniToktom" w:hAnsi="Times New Roman UniToktom" w:cs="Times New Roman UniToktom"/>
                <w:i/>
                <w:sz w:val="24"/>
                <w:szCs w:val="24"/>
              </w:rPr>
              <w:t xml:space="preserve">увеличился на </w:t>
            </w:r>
            <w:r w:rsidRPr="00C44EE6">
              <w:rPr>
                <w:rFonts w:ascii="Times New Roman UniToktom" w:hAnsi="Times New Roman UniToktom" w:cs="Times New Roman UniToktom"/>
                <w:i/>
                <w:sz w:val="24"/>
                <w:szCs w:val="24"/>
                <w:lang w:val="ky-KG"/>
              </w:rPr>
              <w:t>212,2</w:t>
            </w:r>
            <w:r w:rsidRPr="00C44EE6">
              <w:rPr>
                <w:rFonts w:ascii="Times New Roman UniToktom" w:hAnsi="Times New Roman UniToktom" w:cs="Times New Roman UniToktom"/>
                <w:i/>
                <w:sz w:val="24"/>
                <w:szCs w:val="24"/>
              </w:rPr>
              <w:t xml:space="preserve"> млн. сомов,</w:t>
            </w:r>
            <w:r w:rsidRPr="00C44EE6">
              <w:rPr>
                <w:rFonts w:ascii="Times New Roman UniToktom" w:hAnsi="Times New Roman UniToktom" w:cs="Times New Roman UniToktom"/>
                <w:bCs/>
                <w:i/>
                <w:sz w:val="24"/>
                <w:szCs w:val="24"/>
              </w:rPr>
              <w:t xml:space="preserve"> услуг</w:t>
            </w:r>
            <w:r w:rsidRPr="00C44EE6">
              <w:rPr>
                <w:rFonts w:ascii="Times New Roman UniToktom" w:hAnsi="Times New Roman UniToktom" w:cs="Times New Roman UniToktom"/>
                <w:bCs/>
                <w:i/>
                <w:sz w:val="24"/>
                <w:szCs w:val="24"/>
                <w:lang w:val="ky-KG"/>
              </w:rPr>
              <w:t>и</w:t>
            </w:r>
            <w:r w:rsidRPr="00C44EE6">
              <w:rPr>
                <w:rFonts w:ascii="Times New Roman UniToktom" w:hAnsi="Times New Roman UniToktom" w:cs="Times New Roman UniToktom"/>
                <w:bCs/>
                <w:i/>
                <w:sz w:val="24"/>
                <w:szCs w:val="24"/>
              </w:rPr>
              <w:t xml:space="preserve"> по предоставлению операций с недвижимым </w:t>
            </w:r>
            <w:proofErr w:type="gramStart"/>
            <w:r w:rsidRPr="00C44EE6">
              <w:rPr>
                <w:rFonts w:ascii="Times New Roman UniToktom" w:hAnsi="Times New Roman UniToktom" w:cs="Times New Roman UniToktom"/>
                <w:bCs/>
                <w:i/>
                <w:sz w:val="24"/>
                <w:szCs w:val="24"/>
              </w:rPr>
              <w:t xml:space="preserve">имуществом </w:t>
            </w:r>
            <w:r w:rsidRPr="00C44EE6">
              <w:rPr>
                <w:rFonts w:ascii="Times New Roman UniToktom" w:hAnsi="Times New Roman UniToktom" w:cs="Times New Roman UniToktom"/>
                <w:bCs/>
                <w:i/>
                <w:sz w:val="24"/>
                <w:szCs w:val="24"/>
                <w:lang w:val="ky-KG"/>
              </w:rPr>
              <w:t xml:space="preserve"> на</w:t>
            </w:r>
            <w:proofErr w:type="gramEnd"/>
            <w:r w:rsidRPr="00C44EE6">
              <w:rPr>
                <w:rFonts w:ascii="Times New Roman UniToktom" w:hAnsi="Times New Roman UniToktom" w:cs="Times New Roman UniToktom"/>
                <w:bCs/>
                <w:i/>
                <w:sz w:val="24"/>
                <w:szCs w:val="24"/>
                <w:lang w:val="ky-KG"/>
              </w:rPr>
              <w:t xml:space="preserve"> </w:t>
            </w:r>
            <w:r w:rsidRPr="00C44EE6">
              <w:rPr>
                <w:rFonts w:ascii="Times New Roman UniToktom" w:hAnsi="Times New Roman UniToktom" w:cs="Times New Roman UniToktom"/>
                <w:i/>
                <w:sz w:val="24"/>
                <w:szCs w:val="24"/>
                <w:lang w:val="ky-KG"/>
              </w:rPr>
              <w:t xml:space="preserve">27,0  </w:t>
            </w:r>
            <w:r w:rsidRPr="00C44EE6">
              <w:rPr>
                <w:rFonts w:ascii="Times New Roman UniToktom" w:hAnsi="Times New Roman UniToktom" w:cs="Times New Roman UniToktom"/>
                <w:i/>
                <w:sz w:val="24"/>
                <w:szCs w:val="24"/>
              </w:rPr>
              <w:t xml:space="preserve"> процента </w:t>
            </w:r>
            <w:r w:rsidRPr="00C44EE6">
              <w:rPr>
                <w:rFonts w:ascii="Times New Roman UniToktom" w:hAnsi="Times New Roman UniToktom" w:cs="Times New Roman UniToktom"/>
                <w:i/>
                <w:sz w:val="24"/>
                <w:szCs w:val="24"/>
                <w:lang w:val="ky-KG"/>
              </w:rPr>
              <w:t>бол</w:t>
            </w:r>
            <w:proofErr w:type="spellStart"/>
            <w:r w:rsidRPr="00C44EE6">
              <w:rPr>
                <w:rFonts w:ascii="Times New Roman UniToktom" w:hAnsi="Times New Roman UniToktom" w:cs="Times New Roman UniToktom"/>
                <w:i/>
                <w:sz w:val="24"/>
                <w:szCs w:val="24"/>
              </w:rPr>
              <w:t>ьше</w:t>
            </w:r>
            <w:proofErr w:type="spellEnd"/>
            <w:r w:rsidRPr="00C44EE6">
              <w:rPr>
                <w:rFonts w:ascii="Times New Roman UniToktom" w:hAnsi="Times New Roman UniToktom" w:cs="Times New Roman UniToktom"/>
                <w:i/>
                <w:sz w:val="24"/>
                <w:szCs w:val="24"/>
              </w:rPr>
              <w:t>, чем 20</w:t>
            </w:r>
            <w:r w:rsidRPr="00C44EE6">
              <w:rPr>
                <w:rFonts w:ascii="Times New Roman UniToktom" w:hAnsi="Times New Roman UniToktom" w:cs="Times New Roman UniToktom"/>
                <w:i/>
                <w:sz w:val="24"/>
                <w:szCs w:val="24"/>
                <w:lang w:val="ky-KG"/>
              </w:rPr>
              <w:t>24</w:t>
            </w:r>
            <w:r w:rsidRPr="00C44EE6">
              <w:rPr>
                <w:rFonts w:ascii="Times New Roman UniToktom" w:hAnsi="Times New Roman UniToktom" w:cs="Times New Roman UniToktom"/>
                <w:i/>
                <w:sz w:val="24"/>
                <w:szCs w:val="24"/>
              </w:rPr>
              <w:t xml:space="preserve"> году, </w:t>
            </w:r>
            <w:r w:rsidRPr="00C44EE6">
              <w:rPr>
                <w:rFonts w:ascii="Times New Roman UniToktom" w:hAnsi="Times New Roman UniToktom" w:cs="Times New Roman UniToktom"/>
                <w:bCs/>
                <w:i/>
                <w:sz w:val="24"/>
                <w:szCs w:val="24"/>
              </w:rPr>
              <w:t>а годовой</w:t>
            </w:r>
            <w:r w:rsidRPr="00C44EE6">
              <w:rPr>
                <w:rFonts w:ascii="Times New Roman UniToktom" w:hAnsi="Times New Roman UniToktom" w:cs="Times New Roman UniToktom"/>
                <w:i/>
                <w:sz w:val="24"/>
                <w:szCs w:val="24"/>
              </w:rPr>
              <w:t xml:space="preserve"> объем</w:t>
            </w:r>
            <w:r w:rsidRPr="00C44EE6">
              <w:rPr>
                <w:rFonts w:ascii="Times New Roman UniToktom" w:hAnsi="Times New Roman UniToktom" w:cs="Times New Roman UniToktom"/>
                <w:i/>
                <w:sz w:val="24"/>
                <w:szCs w:val="24"/>
                <w:lang w:val="ky-KG"/>
              </w:rPr>
              <w:t xml:space="preserve"> </w:t>
            </w:r>
            <w:r w:rsidRPr="00C44EE6">
              <w:rPr>
                <w:rFonts w:ascii="Times New Roman UniToktom" w:hAnsi="Times New Roman UniToktom" w:cs="Times New Roman UniToktom"/>
                <w:i/>
                <w:sz w:val="24"/>
                <w:szCs w:val="24"/>
              </w:rPr>
              <w:t xml:space="preserve">их составил </w:t>
            </w:r>
            <w:r w:rsidRPr="00C44EE6">
              <w:rPr>
                <w:rFonts w:ascii="Times New Roman UniToktom" w:hAnsi="Times New Roman UniToktom" w:cs="Times New Roman UniToktom"/>
                <w:i/>
                <w:sz w:val="24"/>
                <w:szCs w:val="24"/>
                <w:lang w:val="ky-KG"/>
              </w:rPr>
              <w:t>767,9</w:t>
            </w:r>
            <w:r w:rsidRPr="00C44EE6">
              <w:rPr>
                <w:rFonts w:ascii="Times New Roman UniToktom" w:hAnsi="Times New Roman UniToktom" w:cs="Times New Roman UniToktom"/>
                <w:i/>
                <w:sz w:val="24"/>
                <w:szCs w:val="24"/>
              </w:rPr>
              <w:t xml:space="preserve"> млн. сомов,</w:t>
            </w:r>
            <w:r w:rsidRPr="00C44EE6">
              <w:rPr>
                <w:rFonts w:ascii="Times New Roman UniToktom" w:hAnsi="Times New Roman UniToktom" w:cs="Times New Roman UniToktom"/>
                <w:i/>
                <w:sz w:val="24"/>
                <w:szCs w:val="24"/>
                <w:lang w:val="ky-KG"/>
              </w:rPr>
              <w:t xml:space="preserve"> что по сравнению с 2020 годом увеличился на 582,5 </w:t>
            </w:r>
            <w:proofErr w:type="gramStart"/>
            <w:r w:rsidRPr="00C44EE6">
              <w:rPr>
                <w:rFonts w:ascii="Times New Roman UniToktom" w:hAnsi="Times New Roman UniToktom" w:cs="Times New Roman UniToktom"/>
                <w:i/>
                <w:sz w:val="24"/>
                <w:szCs w:val="24"/>
                <w:lang w:val="ky-KG"/>
              </w:rPr>
              <w:t>млн.сом</w:t>
            </w:r>
            <w:proofErr w:type="gramEnd"/>
            <w:r w:rsidRPr="00C44EE6">
              <w:rPr>
                <w:rFonts w:ascii="Times New Roman UniToktom" w:hAnsi="Times New Roman UniToktom" w:cs="Times New Roman UniToktom"/>
                <w:i/>
                <w:sz w:val="24"/>
                <w:szCs w:val="24"/>
                <w:lang w:val="ky-KG"/>
              </w:rPr>
              <w:t>. Услуги</w:t>
            </w:r>
            <w:r w:rsidRPr="00C44EE6">
              <w:rPr>
                <w:rFonts w:ascii="Times New Roman UniToktom" w:hAnsi="Times New Roman UniToktom" w:cs="Times New Roman UniToktom"/>
                <w:i/>
                <w:sz w:val="24"/>
                <w:szCs w:val="24"/>
              </w:rPr>
              <w:t xml:space="preserve"> по профессиональной, научной и технической деятельности по сравнению с прошлым годом на </w:t>
            </w:r>
            <w:r w:rsidRPr="00C44EE6">
              <w:rPr>
                <w:rFonts w:ascii="Times New Roman UniToktom" w:hAnsi="Times New Roman UniToktom" w:cs="Times New Roman UniToktom"/>
                <w:i/>
                <w:sz w:val="24"/>
                <w:szCs w:val="24"/>
                <w:lang w:val="ky-KG"/>
              </w:rPr>
              <w:t xml:space="preserve"> 20,2 процент больше </w:t>
            </w:r>
            <w:r w:rsidRPr="00C44EE6">
              <w:rPr>
                <w:rFonts w:ascii="Times New Roman UniToktom" w:hAnsi="Times New Roman UniToktom" w:cs="Times New Roman UniToktom"/>
                <w:i/>
                <w:sz w:val="24"/>
                <w:szCs w:val="24"/>
              </w:rPr>
              <w:t xml:space="preserve"> или объем услуг составил </w:t>
            </w:r>
            <w:r w:rsidRPr="00C44EE6">
              <w:rPr>
                <w:rFonts w:ascii="Times New Roman UniToktom" w:hAnsi="Times New Roman UniToktom" w:cs="Times New Roman UniToktom"/>
                <w:i/>
                <w:sz w:val="24"/>
                <w:szCs w:val="24"/>
                <w:lang w:val="ky-KG"/>
              </w:rPr>
              <w:t xml:space="preserve">4629,8 </w:t>
            </w:r>
            <w:r w:rsidRPr="00C44EE6">
              <w:rPr>
                <w:rFonts w:ascii="Times New Roman UniToktom" w:hAnsi="Times New Roman UniToktom" w:cs="Times New Roman UniToktom"/>
                <w:i/>
                <w:sz w:val="24"/>
                <w:szCs w:val="24"/>
              </w:rPr>
              <w:t xml:space="preserve"> млн. </w:t>
            </w:r>
            <w:proofErr w:type="gramStart"/>
            <w:r w:rsidRPr="00C44EE6">
              <w:rPr>
                <w:rFonts w:ascii="Times New Roman UniToktom" w:hAnsi="Times New Roman UniToktom" w:cs="Times New Roman UniToktom"/>
                <w:i/>
                <w:sz w:val="24"/>
                <w:szCs w:val="24"/>
              </w:rPr>
              <w:t xml:space="preserve">сомов, </w:t>
            </w:r>
            <w:r w:rsidRPr="00C44EE6">
              <w:rPr>
                <w:rFonts w:ascii="Times New Roman UniToktom" w:hAnsi="Times New Roman UniToktom" w:cs="Times New Roman UniToktom"/>
                <w:i/>
                <w:sz w:val="24"/>
                <w:szCs w:val="24"/>
                <w:lang w:val="ky-KG"/>
              </w:rPr>
              <w:t xml:space="preserve"> </w:t>
            </w:r>
            <w:r w:rsidRPr="00C44EE6">
              <w:rPr>
                <w:rFonts w:ascii="Times New Roman UniToktom" w:hAnsi="Times New Roman UniToktom" w:cs="Times New Roman UniToktom"/>
                <w:i/>
                <w:sz w:val="24"/>
                <w:szCs w:val="24"/>
              </w:rPr>
              <w:t>а</w:t>
            </w:r>
            <w:proofErr w:type="gramEnd"/>
            <w:r w:rsidRPr="00C44EE6">
              <w:rPr>
                <w:rFonts w:ascii="Times New Roman UniToktom" w:hAnsi="Times New Roman UniToktom" w:cs="Times New Roman UniToktom"/>
                <w:i/>
                <w:sz w:val="24"/>
                <w:szCs w:val="24"/>
              </w:rPr>
              <w:t xml:space="preserve"> объем по сравнению с 2020 годом у</w:t>
            </w:r>
            <w:r w:rsidRPr="00C44EE6">
              <w:rPr>
                <w:rFonts w:ascii="Times New Roman UniToktom" w:hAnsi="Times New Roman UniToktom" w:cs="Times New Roman UniToktom"/>
                <w:i/>
                <w:sz w:val="24"/>
                <w:szCs w:val="24"/>
                <w:lang w:val="ky-KG"/>
              </w:rPr>
              <w:t>велич</w:t>
            </w:r>
            <w:proofErr w:type="spellStart"/>
            <w:r w:rsidRPr="00C44EE6">
              <w:rPr>
                <w:rFonts w:ascii="Times New Roman UniToktom" w:hAnsi="Times New Roman UniToktom" w:cs="Times New Roman UniToktom"/>
                <w:i/>
                <w:sz w:val="24"/>
                <w:szCs w:val="24"/>
              </w:rPr>
              <w:t>ился</w:t>
            </w:r>
            <w:proofErr w:type="spellEnd"/>
            <w:r w:rsidRPr="00C44EE6">
              <w:rPr>
                <w:rFonts w:ascii="Times New Roman UniToktom" w:hAnsi="Times New Roman UniToktom" w:cs="Times New Roman UniToktom"/>
                <w:i/>
                <w:sz w:val="24"/>
                <w:szCs w:val="24"/>
              </w:rPr>
              <w:t xml:space="preserve"> </w:t>
            </w:r>
            <w:r w:rsidRPr="00C44EE6">
              <w:rPr>
                <w:rFonts w:ascii="Times New Roman UniToktom" w:hAnsi="Times New Roman UniToktom" w:cs="Times New Roman UniToktom"/>
                <w:i/>
                <w:sz w:val="24"/>
                <w:szCs w:val="24"/>
                <w:lang w:val="ky-KG"/>
              </w:rPr>
              <w:t>на 3939,9</w:t>
            </w:r>
            <w:r w:rsidRPr="00C44EE6">
              <w:rPr>
                <w:rFonts w:ascii="Times New Roman UniToktom" w:hAnsi="Times New Roman UniToktom" w:cs="Times New Roman UniToktom"/>
                <w:i/>
                <w:sz w:val="24"/>
                <w:szCs w:val="24"/>
              </w:rPr>
              <w:t xml:space="preserve"> </w:t>
            </w:r>
            <w:proofErr w:type="spellStart"/>
            <w:proofErr w:type="gramStart"/>
            <w:r w:rsidRPr="00C44EE6">
              <w:rPr>
                <w:rFonts w:ascii="Times New Roman UniToktom" w:hAnsi="Times New Roman UniToktom" w:cs="Times New Roman UniToktom"/>
                <w:i/>
                <w:sz w:val="24"/>
                <w:szCs w:val="24"/>
              </w:rPr>
              <w:t>млн.сом</w:t>
            </w:r>
            <w:proofErr w:type="spellEnd"/>
            <w:proofErr w:type="gramEnd"/>
            <w:r w:rsidRPr="00C44EE6">
              <w:rPr>
                <w:rFonts w:ascii="Times New Roman UniToktom" w:hAnsi="Times New Roman UniToktom" w:cs="Times New Roman UniToktom"/>
                <w:i/>
                <w:sz w:val="24"/>
                <w:szCs w:val="24"/>
                <w:lang w:val="ky-KG"/>
              </w:rPr>
              <w:t xml:space="preserve">. </w:t>
            </w:r>
            <w:r w:rsidRPr="00C44EE6">
              <w:rPr>
                <w:rFonts w:ascii="Times New Roman UniToktom" w:hAnsi="Times New Roman UniToktom" w:cs="Times New Roman UniToktom"/>
                <w:bCs/>
                <w:i/>
                <w:sz w:val="24"/>
                <w:szCs w:val="24"/>
              </w:rPr>
              <w:t>Объем услуг искусств</w:t>
            </w:r>
            <w:r w:rsidRPr="00C44EE6">
              <w:rPr>
                <w:rFonts w:ascii="Times New Roman UniToktom" w:hAnsi="Times New Roman UniToktom" w:cs="Times New Roman UniToktom"/>
                <w:bCs/>
                <w:i/>
                <w:sz w:val="24"/>
                <w:szCs w:val="24"/>
                <w:lang w:val="ky-KG"/>
              </w:rPr>
              <w:t>а</w:t>
            </w:r>
            <w:r w:rsidRPr="00C44EE6">
              <w:rPr>
                <w:rFonts w:ascii="Times New Roman UniToktom" w:hAnsi="Times New Roman UniToktom" w:cs="Times New Roman UniToktom"/>
                <w:bCs/>
                <w:i/>
                <w:sz w:val="24"/>
                <w:szCs w:val="24"/>
              </w:rPr>
              <w:t xml:space="preserve">, развлечений и отдыха </w:t>
            </w:r>
            <w:r w:rsidRPr="00C44EE6">
              <w:rPr>
                <w:rFonts w:ascii="Times New Roman UniToktom" w:hAnsi="Times New Roman UniToktom" w:cs="Times New Roman UniToktom"/>
                <w:i/>
                <w:sz w:val="24"/>
                <w:szCs w:val="24"/>
              </w:rPr>
              <w:t>за 20</w:t>
            </w:r>
            <w:r w:rsidRPr="00C44EE6">
              <w:rPr>
                <w:rFonts w:ascii="Times New Roman UniToktom" w:hAnsi="Times New Roman UniToktom" w:cs="Times New Roman UniToktom"/>
                <w:i/>
                <w:sz w:val="24"/>
                <w:szCs w:val="24"/>
                <w:lang w:val="ky-KG"/>
              </w:rPr>
              <w:t>24</w:t>
            </w:r>
            <w:r w:rsidRPr="00C44EE6">
              <w:rPr>
                <w:rFonts w:ascii="Times New Roman UniToktom" w:hAnsi="Times New Roman UniToktom" w:cs="Times New Roman UniToktom"/>
                <w:i/>
                <w:sz w:val="24"/>
                <w:szCs w:val="24"/>
              </w:rPr>
              <w:t xml:space="preserve"> год</w:t>
            </w:r>
            <w:r w:rsidRPr="00C44EE6">
              <w:rPr>
                <w:rFonts w:ascii="Times New Roman UniToktom" w:hAnsi="Times New Roman UniToktom" w:cs="Times New Roman UniToktom"/>
                <w:i/>
                <w:sz w:val="24"/>
                <w:szCs w:val="24"/>
                <w:lang w:val="ky-KG"/>
              </w:rPr>
              <w:t>у</w:t>
            </w:r>
            <w:r w:rsidRPr="00C44EE6">
              <w:rPr>
                <w:rFonts w:ascii="Times New Roman UniToktom" w:hAnsi="Times New Roman UniToktom" w:cs="Times New Roman UniToktom"/>
                <w:i/>
                <w:sz w:val="24"/>
                <w:szCs w:val="24"/>
              </w:rPr>
              <w:t xml:space="preserve"> составил </w:t>
            </w:r>
            <w:r w:rsidRPr="00C44EE6">
              <w:rPr>
                <w:rFonts w:ascii="Times New Roman UniToktom" w:hAnsi="Times New Roman UniToktom" w:cs="Times New Roman UniToktom"/>
                <w:i/>
                <w:sz w:val="24"/>
                <w:szCs w:val="24"/>
                <w:lang w:val="ky-KG"/>
              </w:rPr>
              <w:t>409,5</w:t>
            </w:r>
            <w:r w:rsidRPr="00C44EE6">
              <w:rPr>
                <w:rFonts w:ascii="Times New Roman UniToktom" w:hAnsi="Times New Roman UniToktom" w:cs="Times New Roman UniToktom"/>
                <w:i/>
                <w:sz w:val="24"/>
                <w:szCs w:val="24"/>
              </w:rPr>
              <w:t xml:space="preserve"> млн. сомов, и по сравнению с прошлым годом у</w:t>
            </w:r>
            <w:r w:rsidRPr="00C44EE6">
              <w:rPr>
                <w:rFonts w:ascii="Times New Roman UniToktom" w:hAnsi="Times New Roman UniToktom" w:cs="Times New Roman UniToktom"/>
                <w:i/>
                <w:sz w:val="24"/>
                <w:szCs w:val="24"/>
                <w:lang w:val="ky-KG"/>
              </w:rPr>
              <w:t>величился</w:t>
            </w:r>
            <w:r w:rsidRPr="00C44EE6">
              <w:rPr>
                <w:rFonts w:ascii="Times New Roman UniToktom" w:hAnsi="Times New Roman UniToktom" w:cs="Times New Roman UniToktom"/>
                <w:i/>
                <w:sz w:val="24"/>
                <w:szCs w:val="24"/>
              </w:rPr>
              <w:t xml:space="preserve"> на </w:t>
            </w:r>
            <w:r w:rsidRPr="00C44EE6">
              <w:rPr>
                <w:rFonts w:ascii="Times New Roman UniToktom" w:hAnsi="Times New Roman UniToktom" w:cs="Times New Roman UniToktom"/>
                <w:i/>
                <w:sz w:val="24"/>
                <w:szCs w:val="24"/>
                <w:lang w:val="ky-KG"/>
              </w:rPr>
              <w:t>53,3</w:t>
            </w:r>
            <w:r w:rsidRPr="00C44EE6">
              <w:rPr>
                <w:rFonts w:ascii="Times New Roman UniToktom" w:hAnsi="Times New Roman UniToktom" w:cs="Times New Roman UniToktom"/>
                <w:i/>
                <w:sz w:val="24"/>
                <w:szCs w:val="24"/>
              </w:rPr>
              <w:t xml:space="preserve"> процента</w:t>
            </w:r>
            <w:r w:rsidRPr="00C44EE6">
              <w:rPr>
                <w:rFonts w:ascii="Times New Roman UniToktom" w:hAnsi="Times New Roman UniToktom" w:cs="Times New Roman UniToktom"/>
                <w:i/>
                <w:sz w:val="24"/>
                <w:szCs w:val="24"/>
                <w:lang w:val="ky-KG"/>
              </w:rPr>
              <w:t xml:space="preserve">, </w:t>
            </w:r>
            <w:r w:rsidRPr="00C44EE6">
              <w:rPr>
                <w:rFonts w:ascii="Times New Roman UniToktom" w:hAnsi="Times New Roman UniToktom" w:cs="Times New Roman UniToktom"/>
                <w:i/>
                <w:sz w:val="24"/>
                <w:szCs w:val="24"/>
              </w:rPr>
              <w:t xml:space="preserve">по сравнению с 2020г. </w:t>
            </w:r>
            <w:r w:rsidRPr="00C44EE6">
              <w:rPr>
                <w:rFonts w:ascii="Times New Roman UniToktom" w:hAnsi="Times New Roman UniToktom" w:cs="Times New Roman UniToktom"/>
                <w:i/>
                <w:sz w:val="24"/>
                <w:szCs w:val="24"/>
                <w:lang w:val="ky-KG"/>
              </w:rPr>
              <w:t>больше</w:t>
            </w:r>
            <w:r w:rsidRPr="00C44EE6">
              <w:rPr>
                <w:rFonts w:ascii="Times New Roman UniToktom" w:hAnsi="Times New Roman UniToktom" w:cs="Times New Roman UniToktom"/>
                <w:i/>
                <w:sz w:val="24"/>
                <w:szCs w:val="24"/>
              </w:rPr>
              <w:t xml:space="preserve"> на </w:t>
            </w:r>
            <w:r w:rsidRPr="00C44EE6">
              <w:rPr>
                <w:rFonts w:ascii="Times New Roman UniToktom" w:hAnsi="Times New Roman UniToktom" w:cs="Times New Roman UniToktom"/>
                <w:i/>
                <w:sz w:val="24"/>
                <w:szCs w:val="24"/>
                <w:lang w:val="ky-KG"/>
              </w:rPr>
              <w:t>327,</w:t>
            </w:r>
            <w:proofErr w:type="gramStart"/>
            <w:r w:rsidRPr="00C44EE6">
              <w:rPr>
                <w:rFonts w:ascii="Times New Roman UniToktom" w:hAnsi="Times New Roman UniToktom" w:cs="Times New Roman UniToktom"/>
                <w:i/>
                <w:sz w:val="24"/>
                <w:szCs w:val="24"/>
                <w:lang w:val="ky-KG"/>
              </w:rPr>
              <w:t xml:space="preserve">5 </w:t>
            </w:r>
            <w:r w:rsidRPr="00C44EE6">
              <w:rPr>
                <w:rFonts w:ascii="Times New Roman UniToktom" w:hAnsi="Times New Roman UniToktom" w:cs="Times New Roman UniToktom"/>
                <w:i/>
                <w:sz w:val="24"/>
                <w:szCs w:val="24"/>
              </w:rPr>
              <w:t xml:space="preserve"> млн.</w:t>
            </w:r>
            <w:proofErr w:type="gramEnd"/>
            <w:r w:rsidRPr="00C44EE6">
              <w:rPr>
                <w:rFonts w:ascii="Times New Roman UniToktom" w:hAnsi="Times New Roman UniToktom" w:cs="Times New Roman UniToktom"/>
                <w:i/>
                <w:sz w:val="24"/>
                <w:szCs w:val="24"/>
              </w:rPr>
              <w:t xml:space="preserve"> сомов</w:t>
            </w:r>
            <w:r w:rsidRPr="00C44EE6">
              <w:rPr>
                <w:rFonts w:ascii="Times New Roman UniToktom" w:hAnsi="Times New Roman UniToktom" w:cs="Times New Roman UniToktom"/>
                <w:i/>
                <w:sz w:val="24"/>
                <w:szCs w:val="24"/>
                <w:lang w:val="ky-KG"/>
              </w:rPr>
              <w:t>.</w:t>
            </w:r>
            <w:r w:rsidRPr="00C44EE6">
              <w:rPr>
                <w:rFonts w:ascii="Times New Roman UniToktom" w:hAnsi="Times New Roman UniToktom" w:cs="Times New Roman UniToktom"/>
                <w:i/>
                <w:sz w:val="24"/>
                <w:szCs w:val="24"/>
              </w:rPr>
              <w:t xml:space="preserve"> </w:t>
            </w:r>
            <w:r w:rsidRPr="00C44EE6">
              <w:rPr>
                <w:i/>
                <w:sz w:val="24"/>
                <w:szCs w:val="24"/>
              </w:rPr>
              <w:t xml:space="preserve">Объем услуг по прочей обслуживающей деятельности составил </w:t>
            </w:r>
            <w:r w:rsidRPr="00C44EE6">
              <w:rPr>
                <w:i/>
                <w:sz w:val="24"/>
                <w:szCs w:val="24"/>
                <w:lang w:val="ky-KG"/>
              </w:rPr>
              <w:t>2984,2</w:t>
            </w:r>
            <w:r w:rsidRPr="00C44EE6">
              <w:rPr>
                <w:i/>
                <w:sz w:val="24"/>
                <w:szCs w:val="24"/>
              </w:rPr>
              <w:t xml:space="preserve"> млн. сомов, и по сравнению с прошлым годом </w:t>
            </w:r>
            <w:r w:rsidRPr="00C44EE6">
              <w:rPr>
                <w:i/>
                <w:sz w:val="24"/>
                <w:szCs w:val="24"/>
                <w:lang w:val="ky-KG"/>
              </w:rPr>
              <w:t>увеличился</w:t>
            </w:r>
            <w:r w:rsidRPr="00C44EE6">
              <w:rPr>
                <w:i/>
                <w:sz w:val="24"/>
                <w:szCs w:val="24"/>
              </w:rPr>
              <w:t xml:space="preserve"> на </w:t>
            </w:r>
            <w:r w:rsidRPr="00C44EE6">
              <w:rPr>
                <w:i/>
                <w:sz w:val="24"/>
                <w:szCs w:val="24"/>
                <w:lang w:val="ky-KG"/>
              </w:rPr>
              <w:t>40,8</w:t>
            </w:r>
            <w:r w:rsidRPr="00C44EE6">
              <w:rPr>
                <w:i/>
                <w:sz w:val="24"/>
                <w:szCs w:val="24"/>
              </w:rPr>
              <w:t xml:space="preserve"> процента</w:t>
            </w:r>
            <w:r w:rsidRPr="00C44EE6">
              <w:rPr>
                <w:i/>
                <w:sz w:val="24"/>
                <w:szCs w:val="24"/>
                <w:lang w:val="ky-KG"/>
              </w:rPr>
              <w:t xml:space="preserve"> и увеличился 1873,2 </w:t>
            </w:r>
            <w:proofErr w:type="gramStart"/>
            <w:r w:rsidRPr="00C44EE6">
              <w:rPr>
                <w:i/>
                <w:sz w:val="24"/>
                <w:szCs w:val="24"/>
                <w:lang w:val="ky-KG"/>
              </w:rPr>
              <w:t>млн.сомов</w:t>
            </w:r>
            <w:proofErr w:type="gramEnd"/>
            <w:r w:rsidRPr="00C44EE6">
              <w:rPr>
                <w:i/>
                <w:sz w:val="24"/>
                <w:szCs w:val="24"/>
                <w:lang w:val="ky-KG"/>
              </w:rPr>
              <w:t>.</w:t>
            </w:r>
            <w:r w:rsidRPr="00C44EE6">
              <w:rPr>
                <w:i/>
                <w:sz w:val="24"/>
                <w:szCs w:val="24"/>
              </w:rPr>
              <w:t xml:space="preserve"> </w:t>
            </w:r>
            <w:r w:rsidRPr="00C44EE6">
              <w:rPr>
                <w:rFonts w:ascii="Times New Roman UniToktom" w:hAnsi="Times New Roman UniToktom" w:cs="Times New Roman UniToktom"/>
                <w:i/>
                <w:sz w:val="24"/>
                <w:szCs w:val="24"/>
              </w:rPr>
              <w:t xml:space="preserve">по сравнению с 2020г. </w:t>
            </w:r>
          </w:p>
        </w:tc>
      </w:tr>
      <w:tr w:rsidR="00302F18" w:rsidRPr="00C44EE6" w14:paraId="682DB808" w14:textId="77777777" w:rsidTr="007F3C2A">
        <w:tc>
          <w:tcPr>
            <w:tcW w:w="4853" w:type="dxa"/>
          </w:tcPr>
          <w:p w14:paraId="6AEF85E0" w14:textId="3AFF2E9A" w:rsidR="00302F18" w:rsidRPr="00C44EE6" w:rsidRDefault="00302F18" w:rsidP="00302F18">
            <w:pPr>
              <w:pStyle w:val="a8"/>
              <w:spacing w:after="0"/>
              <w:ind w:left="0" w:firstLine="708"/>
              <w:jc w:val="both"/>
              <w:rPr>
                <w:sz w:val="24"/>
                <w:lang w:val="ky-KG"/>
              </w:rPr>
            </w:pPr>
            <w:r w:rsidRPr="00C44EE6">
              <w:rPr>
                <w:sz w:val="24"/>
                <w:lang w:val="ky-KG"/>
              </w:rPr>
              <w:t>2024-жылда финансылык ортом-чулук жана камсыздандыруу ишмердигинин көлөмү 5896,5 млн.сомду түздү, өткөн жылга салыштырмалуу 20,5 пайызга көбөйгөн, акыркы беш жылдын ичинде  3986,2 млн. сомго көбөйгөн</w:t>
            </w:r>
            <w:r w:rsidRPr="00C44EE6">
              <w:rPr>
                <w:rFonts w:ascii="Times New Roman UniToktom" w:hAnsi="Times New Roman UniToktom" w:cs="Times New Roman UniToktom"/>
                <w:sz w:val="24"/>
                <w:szCs w:val="24"/>
                <w:lang w:val="ky-KG"/>
              </w:rPr>
              <w:t xml:space="preserve">, </w:t>
            </w:r>
            <w:r w:rsidRPr="00C44EE6">
              <w:rPr>
                <w:sz w:val="24"/>
                <w:lang w:val="ky-KG"/>
              </w:rPr>
              <w:t xml:space="preserve"> </w:t>
            </w:r>
            <w:r w:rsidRPr="00C44EE6">
              <w:rPr>
                <w:rFonts w:ascii="Times New Roman UniToktom" w:hAnsi="Times New Roman UniToktom" w:cs="Times New Roman UniToktom"/>
                <w:bCs/>
                <w:sz w:val="24"/>
                <w:szCs w:val="24"/>
                <w:lang w:val="ky-KG"/>
              </w:rPr>
              <w:t>б</w:t>
            </w:r>
            <w:r w:rsidRPr="00C44EE6">
              <w:rPr>
                <w:sz w:val="24"/>
                <w:lang w:val="ky-KG"/>
              </w:rPr>
              <w:t xml:space="preserve">илим берүү кызматтары өткөн жылга салыштырмалуу  17,0  пайызга өстү же 2227,4  млн.сом көлөмдү түздү. Акыркы беш жылда алардын көлөмү 1199,8 млн. сомго көбөйдү. Саламаттыкты сактоо жана калкты социалдык жактан тейлөөнүн көлөмү  34,3 пайызга көбөйүп  же 2002,4 млн. сом болду, акыркы беш жыл ичинде алардын көлөмү 1430,4 млн. сомго көбөйдү. </w:t>
            </w:r>
          </w:p>
        </w:tc>
        <w:tc>
          <w:tcPr>
            <w:tcW w:w="4644" w:type="dxa"/>
          </w:tcPr>
          <w:p w14:paraId="01EFD0E6" w14:textId="2DACED3F" w:rsidR="00302F18" w:rsidRPr="00C44EE6" w:rsidRDefault="00302F18" w:rsidP="00302F18">
            <w:pPr>
              <w:pStyle w:val="a8"/>
              <w:spacing w:after="0"/>
              <w:ind w:left="0" w:firstLine="708"/>
              <w:jc w:val="both"/>
              <w:rPr>
                <w:i/>
                <w:sz w:val="24"/>
              </w:rPr>
            </w:pPr>
            <w:r w:rsidRPr="00C44EE6">
              <w:rPr>
                <w:i/>
                <w:sz w:val="24"/>
                <w:lang w:val="ky-KG"/>
              </w:rPr>
              <w:t>В частности 2024 году  о</w:t>
            </w:r>
            <w:proofErr w:type="spellStart"/>
            <w:r w:rsidRPr="00C44EE6">
              <w:rPr>
                <w:i/>
                <w:sz w:val="24"/>
              </w:rPr>
              <w:t>бъем</w:t>
            </w:r>
            <w:proofErr w:type="spellEnd"/>
            <w:r w:rsidRPr="00C44EE6">
              <w:rPr>
                <w:i/>
                <w:sz w:val="24"/>
              </w:rPr>
              <w:t xml:space="preserve"> по финансовому посредничеству и страхованию </w:t>
            </w:r>
            <w:r w:rsidRPr="00C44EE6">
              <w:rPr>
                <w:i/>
                <w:sz w:val="24"/>
                <w:lang w:val="ky-KG"/>
              </w:rPr>
              <w:t xml:space="preserve">увеличился </w:t>
            </w:r>
            <w:r w:rsidRPr="00C44EE6">
              <w:rPr>
                <w:i/>
                <w:sz w:val="24"/>
              </w:rPr>
              <w:t xml:space="preserve">на </w:t>
            </w:r>
            <w:r w:rsidRPr="00C44EE6">
              <w:rPr>
                <w:i/>
                <w:sz w:val="24"/>
                <w:lang w:val="ky-KG"/>
              </w:rPr>
              <w:t>20,5</w:t>
            </w:r>
            <w:r w:rsidRPr="00C44EE6">
              <w:rPr>
                <w:i/>
                <w:sz w:val="24"/>
              </w:rPr>
              <w:t xml:space="preserve"> процента,</w:t>
            </w:r>
            <w:r w:rsidRPr="00C44EE6">
              <w:rPr>
                <w:rFonts w:ascii="Times New Roman UniToktom" w:hAnsi="Times New Roman UniToktom" w:cs="Times New Roman UniToktom"/>
                <w:i/>
                <w:sz w:val="24"/>
                <w:szCs w:val="24"/>
                <w:lang w:val="ky-KG"/>
              </w:rPr>
              <w:t xml:space="preserve"> по сравнению с прошлым годом</w:t>
            </w:r>
            <w:r w:rsidRPr="00C44EE6">
              <w:rPr>
                <w:rFonts w:ascii="Times New Roman UniToktom" w:hAnsi="Times New Roman UniToktom" w:cs="Times New Roman UniToktom"/>
                <w:i/>
                <w:sz w:val="24"/>
                <w:szCs w:val="24"/>
              </w:rPr>
              <w:t xml:space="preserve">, </w:t>
            </w:r>
            <w:r w:rsidRPr="00C44EE6">
              <w:rPr>
                <w:i/>
                <w:sz w:val="24"/>
              </w:rPr>
              <w:t xml:space="preserve"> </w:t>
            </w:r>
            <w:r w:rsidRPr="00C44EE6">
              <w:rPr>
                <w:i/>
                <w:sz w:val="24"/>
                <w:lang w:val="ky-KG"/>
              </w:rPr>
              <w:t>и</w:t>
            </w:r>
            <w:r w:rsidRPr="00C44EE6">
              <w:rPr>
                <w:rFonts w:ascii="Times New Roman UniToktom" w:hAnsi="Times New Roman UniToktom" w:cs="Times New Roman UniToktom"/>
                <w:i/>
                <w:sz w:val="24"/>
                <w:szCs w:val="24"/>
              </w:rPr>
              <w:t xml:space="preserve"> составил </w:t>
            </w:r>
            <w:r w:rsidRPr="00C44EE6">
              <w:rPr>
                <w:rFonts w:ascii="Times New Roman UniToktom" w:hAnsi="Times New Roman UniToktom" w:cs="Times New Roman UniToktom"/>
                <w:i/>
                <w:sz w:val="24"/>
                <w:szCs w:val="24"/>
                <w:lang w:val="ky-KG"/>
              </w:rPr>
              <w:t>5896,5</w:t>
            </w:r>
            <w:r w:rsidRPr="00C44EE6">
              <w:rPr>
                <w:rFonts w:ascii="Times New Roman UniToktom" w:hAnsi="Times New Roman UniToktom" w:cs="Times New Roman UniToktom"/>
                <w:i/>
                <w:sz w:val="24"/>
                <w:szCs w:val="24"/>
              </w:rPr>
              <w:t xml:space="preserve"> млн. сомов</w:t>
            </w:r>
            <w:r w:rsidRPr="00C44EE6">
              <w:rPr>
                <w:i/>
                <w:sz w:val="24"/>
              </w:rPr>
              <w:t>,</w:t>
            </w:r>
            <w:r w:rsidRPr="00C44EE6">
              <w:rPr>
                <w:rFonts w:ascii="Times New Roman UniToktom" w:hAnsi="Times New Roman UniToktom" w:cs="Times New Roman UniToktom"/>
                <w:bCs/>
                <w:i/>
                <w:sz w:val="24"/>
                <w:szCs w:val="24"/>
              </w:rPr>
              <w:t xml:space="preserve"> </w:t>
            </w:r>
            <w:r w:rsidRPr="00C44EE6">
              <w:rPr>
                <w:rFonts w:ascii="Times New Roman UniToktom" w:hAnsi="Times New Roman UniToktom" w:cs="Times New Roman UniToktom"/>
                <w:bCs/>
                <w:i/>
                <w:sz w:val="24"/>
                <w:szCs w:val="24"/>
                <w:lang w:val="ky-KG"/>
              </w:rPr>
              <w:t>(</w:t>
            </w:r>
            <w:r w:rsidRPr="00C44EE6">
              <w:rPr>
                <w:rFonts w:ascii="Times New Roman UniToktom" w:hAnsi="Times New Roman UniToktom" w:cs="Times New Roman UniToktom"/>
                <w:bCs/>
                <w:i/>
                <w:sz w:val="24"/>
                <w:szCs w:val="24"/>
              </w:rPr>
              <w:t>з</w:t>
            </w:r>
            <w:r w:rsidRPr="00C44EE6">
              <w:rPr>
                <w:rFonts w:ascii="Times New Roman UniToktom" w:hAnsi="Times New Roman UniToktom" w:cs="Times New Roman UniToktom"/>
                <w:i/>
                <w:sz w:val="24"/>
                <w:szCs w:val="24"/>
              </w:rPr>
              <w:t xml:space="preserve">а последние пять лет их объем увеличился на </w:t>
            </w:r>
            <w:r w:rsidRPr="00C44EE6">
              <w:rPr>
                <w:rFonts w:ascii="Times New Roman UniToktom" w:hAnsi="Times New Roman UniToktom" w:cs="Times New Roman UniToktom"/>
                <w:i/>
                <w:sz w:val="24"/>
                <w:szCs w:val="24"/>
                <w:lang w:val="ky-KG"/>
              </w:rPr>
              <w:t>3986,2</w:t>
            </w:r>
            <w:r w:rsidRPr="00C44EE6">
              <w:rPr>
                <w:rFonts w:ascii="Times New Roman UniToktom" w:hAnsi="Times New Roman UniToktom" w:cs="Times New Roman UniToktom"/>
                <w:i/>
                <w:sz w:val="24"/>
                <w:szCs w:val="24"/>
              </w:rPr>
              <w:t xml:space="preserve"> млн. сомов.), </w:t>
            </w:r>
            <w:r w:rsidRPr="00C44EE6">
              <w:rPr>
                <w:rFonts w:ascii="Times New Roman UniToktom" w:hAnsi="Times New Roman UniToktom" w:cs="Times New Roman UniToktom"/>
                <w:i/>
                <w:sz w:val="24"/>
                <w:szCs w:val="24"/>
                <w:lang w:val="ky-KG"/>
              </w:rPr>
              <w:t>обьем у</w:t>
            </w:r>
            <w:r w:rsidRPr="00C44EE6">
              <w:rPr>
                <w:rFonts w:ascii="Times New Roman UniToktom" w:hAnsi="Times New Roman UniToktom" w:cs="Times New Roman UniToktom"/>
                <w:i/>
                <w:sz w:val="24"/>
                <w:szCs w:val="24"/>
              </w:rPr>
              <w:t xml:space="preserve">слуг </w:t>
            </w:r>
            <w:r w:rsidRPr="00C44EE6">
              <w:rPr>
                <w:i/>
                <w:sz w:val="24"/>
              </w:rPr>
              <w:t xml:space="preserve">образования – на </w:t>
            </w:r>
            <w:r w:rsidRPr="00C44EE6">
              <w:rPr>
                <w:i/>
                <w:sz w:val="24"/>
                <w:lang w:val="ky-KG"/>
              </w:rPr>
              <w:t>17,0</w:t>
            </w:r>
            <w:r w:rsidRPr="00C44EE6">
              <w:rPr>
                <w:i/>
                <w:sz w:val="24"/>
              </w:rPr>
              <w:t xml:space="preserve"> процента</w:t>
            </w:r>
            <w:r w:rsidRPr="00C44EE6">
              <w:rPr>
                <w:i/>
                <w:sz w:val="24"/>
                <w:lang w:val="ky-KG"/>
              </w:rPr>
              <w:t xml:space="preserve"> больше</w:t>
            </w:r>
            <w:r w:rsidRPr="00C44EE6">
              <w:rPr>
                <w:i/>
                <w:sz w:val="24"/>
              </w:rPr>
              <w:t xml:space="preserve">, или составил </w:t>
            </w:r>
            <w:r w:rsidRPr="00C44EE6">
              <w:rPr>
                <w:rFonts w:ascii="Times New Roman UniToktom" w:hAnsi="Times New Roman UniToktom" w:cs="Times New Roman UniToktom"/>
                <w:i/>
                <w:sz w:val="24"/>
                <w:szCs w:val="24"/>
                <w:lang w:val="ky-KG"/>
              </w:rPr>
              <w:t>2227,4</w:t>
            </w:r>
            <w:r w:rsidRPr="00C44EE6">
              <w:rPr>
                <w:rFonts w:ascii="Times New Roman UniToktom" w:hAnsi="Times New Roman UniToktom" w:cs="Times New Roman UniToktom"/>
                <w:i/>
                <w:sz w:val="24"/>
                <w:szCs w:val="24"/>
              </w:rPr>
              <w:t xml:space="preserve"> млн. сомов,</w:t>
            </w:r>
            <w:r w:rsidRPr="00C44EE6">
              <w:rPr>
                <w:rFonts w:ascii="Times New Roman UniToktom" w:hAnsi="Times New Roman UniToktom" w:cs="Times New Roman UniToktom"/>
                <w:i/>
                <w:sz w:val="24"/>
                <w:szCs w:val="24"/>
                <w:lang w:val="ky-KG"/>
              </w:rPr>
              <w:t xml:space="preserve"> по сравнению с прошлым </w:t>
            </w:r>
            <w:proofErr w:type="gramStart"/>
            <w:r w:rsidRPr="00C44EE6">
              <w:rPr>
                <w:rFonts w:ascii="Times New Roman UniToktom" w:hAnsi="Times New Roman UniToktom" w:cs="Times New Roman UniToktom"/>
                <w:i/>
                <w:sz w:val="24"/>
                <w:szCs w:val="24"/>
                <w:lang w:val="ky-KG"/>
              </w:rPr>
              <w:t>годом</w:t>
            </w:r>
            <w:r w:rsidRPr="00C44EE6">
              <w:rPr>
                <w:rFonts w:ascii="Times New Roman UniToktom" w:hAnsi="Times New Roman UniToktom" w:cs="Times New Roman UniToktom"/>
                <w:i/>
                <w:sz w:val="24"/>
                <w:szCs w:val="24"/>
              </w:rPr>
              <w:t>,  за</w:t>
            </w:r>
            <w:proofErr w:type="gramEnd"/>
            <w:r w:rsidRPr="00C44EE6">
              <w:rPr>
                <w:rFonts w:ascii="Times New Roman UniToktom" w:hAnsi="Times New Roman UniToktom" w:cs="Times New Roman UniToktom"/>
                <w:i/>
                <w:sz w:val="24"/>
                <w:szCs w:val="24"/>
              </w:rPr>
              <w:t xml:space="preserve"> последние пять лет их объем увеличился на </w:t>
            </w:r>
            <w:r w:rsidRPr="00C44EE6">
              <w:rPr>
                <w:rFonts w:ascii="Times New Roman UniToktom" w:hAnsi="Times New Roman UniToktom" w:cs="Times New Roman UniToktom"/>
                <w:i/>
                <w:sz w:val="24"/>
                <w:szCs w:val="24"/>
                <w:lang w:val="ky-KG"/>
              </w:rPr>
              <w:t>1199,8</w:t>
            </w:r>
            <w:r w:rsidRPr="00C44EE6">
              <w:rPr>
                <w:rFonts w:ascii="Times New Roman UniToktom" w:hAnsi="Times New Roman UniToktom" w:cs="Times New Roman UniToktom"/>
                <w:i/>
                <w:sz w:val="24"/>
                <w:szCs w:val="24"/>
              </w:rPr>
              <w:t xml:space="preserve"> млн. сомов. У</w:t>
            </w:r>
            <w:r w:rsidRPr="00C44EE6">
              <w:rPr>
                <w:rFonts w:ascii="Times New Roman UniToktom" w:hAnsi="Times New Roman UniToktom" w:cs="Times New Roman UniToktom"/>
                <w:bCs/>
                <w:i/>
                <w:sz w:val="24"/>
                <w:szCs w:val="24"/>
              </w:rPr>
              <w:t xml:space="preserve">слуги, предоставленные в области здравоохранения и социального обслуживания населения </w:t>
            </w:r>
            <w:r w:rsidRPr="00C44EE6">
              <w:rPr>
                <w:rFonts w:ascii="Times New Roman UniToktom" w:hAnsi="Times New Roman UniToktom" w:cs="Times New Roman UniToktom"/>
                <w:i/>
                <w:sz w:val="24"/>
                <w:szCs w:val="24"/>
              </w:rPr>
              <w:t xml:space="preserve">на </w:t>
            </w:r>
            <w:r w:rsidRPr="00C44EE6">
              <w:rPr>
                <w:rFonts w:ascii="Times New Roman UniToktom" w:hAnsi="Times New Roman UniToktom" w:cs="Times New Roman UniToktom"/>
                <w:i/>
                <w:sz w:val="24"/>
                <w:szCs w:val="24"/>
                <w:lang w:val="ky-KG"/>
              </w:rPr>
              <w:t>34,3</w:t>
            </w:r>
            <w:r w:rsidRPr="00C44EE6">
              <w:rPr>
                <w:rFonts w:ascii="Times New Roman UniToktom" w:hAnsi="Times New Roman UniToktom" w:cs="Times New Roman UniToktom"/>
                <w:i/>
                <w:sz w:val="24"/>
                <w:szCs w:val="24"/>
              </w:rPr>
              <w:t xml:space="preserve"> процента</w:t>
            </w:r>
            <w:r w:rsidRPr="00C44EE6">
              <w:rPr>
                <w:rFonts w:ascii="Times New Roman UniToktom" w:hAnsi="Times New Roman UniToktom" w:cs="Times New Roman UniToktom"/>
                <w:i/>
                <w:sz w:val="24"/>
                <w:szCs w:val="24"/>
                <w:lang w:val="ky-KG"/>
              </w:rPr>
              <w:t xml:space="preserve"> больше по сравнению с прошлым годом</w:t>
            </w:r>
            <w:r w:rsidRPr="00C44EE6">
              <w:rPr>
                <w:rFonts w:ascii="Times New Roman UniToktom" w:hAnsi="Times New Roman UniToktom" w:cs="Times New Roman UniToktom"/>
                <w:i/>
                <w:sz w:val="24"/>
                <w:szCs w:val="24"/>
              </w:rPr>
              <w:t xml:space="preserve">, и составили </w:t>
            </w:r>
            <w:r w:rsidRPr="00C44EE6">
              <w:rPr>
                <w:rFonts w:ascii="Times New Roman UniToktom" w:hAnsi="Times New Roman UniToktom" w:cs="Times New Roman UniToktom"/>
                <w:i/>
                <w:sz w:val="24"/>
                <w:szCs w:val="24"/>
                <w:lang w:val="ky-KG"/>
              </w:rPr>
              <w:t>2002,4</w:t>
            </w:r>
            <w:r w:rsidRPr="00C44EE6">
              <w:rPr>
                <w:rFonts w:ascii="Times New Roman UniToktom" w:hAnsi="Times New Roman UniToktom" w:cs="Times New Roman UniToktom"/>
                <w:i/>
                <w:sz w:val="24"/>
                <w:szCs w:val="24"/>
              </w:rPr>
              <w:t xml:space="preserve"> млн. сомов, за последние пять лет их объем увеличился на </w:t>
            </w:r>
            <w:r w:rsidRPr="00C44EE6">
              <w:rPr>
                <w:rFonts w:ascii="Times New Roman UniToktom" w:hAnsi="Times New Roman UniToktom" w:cs="Times New Roman UniToktom"/>
                <w:i/>
                <w:sz w:val="24"/>
                <w:szCs w:val="24"/>
                <w:lang w:val="ky-KG"/>
              </w:rPr>
              <w:t>1430,4</w:t>
            </w:r>
            <w:r w:rsidRPr="00C44EE6">
              <w:rPr>
                <w:rFonts w:ascii="Times New Roman UniToktom" w:hAnsi="Times New Roman UniToktom" w:cs="Times New Roman UniToktom"/>
                <w:i/>
                <w:sz w:val="24"/>
                <w:szCs w:val="24"/>
              </w:rPr>
              <w:t xml:space="preserve"> млн. сомов.</w:t>
            </w:r>
          </w:p>
        </w:tc>
      </w:tr>
    </w:tbl>
    <w:p w14:paraId="5DFDEFEF" w14:textId="77777777" w:rsidR="00097612" w:rsidRPr="00C44EE6" w:rsidRDefault="00097612">
      <w:pPr>
        <w:ind w:firstLine="708"/>
        <w:jc w:val="both"/>
        <w:rPr>
          <w:sz w:val="24"/>
          <w:highlight w:val="yellow"/>
        </w:rPr>
      </w:pPr>
    </w:p>
    <w:tbl>
      <w:tblPr>
        <w:tblW w:w="9497" w:type="dxa"/>
        <w:tblInd w:w="284" w:type="dxa"/>
        <w:tblLook w:val="00A0" w:firstRow="1" w:lastRow="0" w:firstColumn="1" w:lastColumn="0" w:noHBand="0" w:noVBand="0"/>
      </w:tblPr>
      <w:tblGrid>
        <w:gridCol w:w="4819"/>
        <w:gridCol w:w="4678"/>
      </w:tblGrid>
      <w:tr w:rsidR="00C44EE6" w:rsidRPr="00C44EE6" w14:paraId="28101F10" w14:textId="77777777" w:rsidTr="00372228">
        <w:tc>
          <w:tcPr>
            <w:tcW w:w="4819" w:type="dxa"/>
          </w:tcPr>
          <w:p w14:paraId="65A7AAEF" w14:textId="07B03679" w:rsidR="001A28ED" w:rsidRPr="00C44EE6" w:rsidRDefault="000016BB" w:rsidP="00A65AD5">
            <w:pPr>
              <w:ind w:firstLine="720"/>
              <w:jc w:val="both"/>
              <w:rPr>
                <w:sz w:val="24"/>
                <w:szCs w:val="24"/>
                <w:lang w:val="ky-KG"/>
              </w:rPr>
            </w:pPr>
            <w:r w:rsidRPr="00C44EE6">
              <w:rPr>
                <w:b/>
                <w:bCs/>
                <w:iCs/>
                <w:sz w:val="24"/>
                <w:szCs w:val="24"/>
                <w:lang w:val="ky-KG"/>
              </w:rPr>
              <w:t xml:space="preserve">Керектөө бааларынын индекси.   </w:t>
            </w:r>
            <w:r w:rsidRPr="00C44EE6">
              <w:rPr>
                <w:bCs/>
                <w:iCs/>
                <w:sz w:val="24"/>
                <w:szCs w:val="24"/>
                <w:lang w:val="ky-KG"/>
              </w:rPr>
              <w:t>Инфляция деңгээлин мүнөздөөчү керектөө бааларынын индекси, жалпысынан Жалал-Абад облусу боюнча 2024-жылдын январь - декабрь айларында (өткөн жылдын декабрь айына салыштырмалуу) 104,6 пайызды түздү, бул  акыркы беш жылдагы эң жогорку көрсөткүч</w:t>
            </w:r>
            <w:r w:rsidR="001A28ED" w:rsidRPr="00C44EE6">
              <w:rPr>
                <w:bCs/>
                <w:iCs/>
                <w:sz w:val="24"/>
                <w:szCs w:val="24"/>
                <w:lang w:val="ky-KG"/>
              </w:rPr>
              <w:t xml:space="preserve">. </w:t>
            </w:r>
          </w:p>
        </w:tc>
        <w:tc>
          <w:tcPr>
            <w:tcW w:w="4678" w:type="dxa"/>
          </w:tcPr>
          <w:p w14:paraId="6C55865A" w14:textId="0BF5C5E3" w:rsidR="001A28ED" w:rsidRPr="00C44EE6" w:rsidRDefault="000016BB" w:rsidP="00A65AD5">
            <w:pPr>
              <w:ind w:firstLine="720"/>
              <w:jc w:val="both"/>
              <w:rPr>
                <w:i/>
                <w:iCs/>
                <w:sz w:val="24"/>
                <w:szCs w:val="24"/>
              </w:rPr>
            </w:pPr>
            <w:r w:rsidRPr="00C44EE6">
              <w:rPr>
                <w:b/>
                <w:bCs/>
                <w:i/>
                <w:iCs/>
                <w:sz w:val="24"/>
                <w:szCs w:val="24"/>
              </w:rPr>
              <w:t>Индекс потребительских цен.</w:t>
            </w:r>
            <w:r w:rsidRPr="00C44EE6">
              <w:rPr>
                <w:i/>
                <w:iCs/>
                <w:sz w:val="24"/>
                <w:szCs w:val="24"/>
              </w:rPr>
              <w:t xml:space="preserve">   </w:t>
            </w:r>
            <w:r w:rsidRPr="00C44EE6">
              <w:rPr>
                <w:i/>
                <w:iCs/>
                <w:sz w:val="24"/>
                <w:szCs w:val="24"/>
                <w:lang w:eastAsia="en-US"/>
              </w:rPr>
              <w:t xml:space="preserve">Индекс потребительских цен, характеризующий уровень инфляции, в целом по </w:t>
            </w:r>
            <w:r w:rsidRPr="00C44EE6">
              <w:rPr>
                <w:i/>
                <w:iCs/>
                <w:sz w:val="24"/>
                <w:szCs w:val="24"/>
                <w:lang w:val="ky-KG" w:eastAsia="en-US"/>
              </w:rPr>
              <w:t>Джалал-Абадской</w:t>
            </w:r>
            <w:r w:rsidRPr="00C44EE6">
              <w:rPr>
                <w:i/>
                <w:iCs/>
                <w:sz w:val="24"/>
                <w:szCs w:val="24"/>
                <w:lang w:eastAsia="en-US"/>
              </w:rPr>
              <w:t xml:space="preserve"> области в январе-</w:t>
            </w:r>
            <w:r w:rsidRPr="00C44EE6">
              <w:rPr>
                <w:i/>
                <w:iCs/>
                <w:sz w:val="24"/>
                <w:szCs w:val="24"/>
                <w:lang w:val="ky-KG" w:eastAsia="en-US"/>
              </w:rPr>
              <w:t>декабре</w:t>
            </w:r>
            <w:r w:rsidRPr="00C44EE6">
              <w:rPr>
                <w:i/>
                <w:iCs/>
                <w:sz w:val="24"/>
                <w:szCs w:val="24"/>
                <w:lang w:eastAsia="en-US"/>
              </w:rPr>
              <w:t xml:space="preserve"> 202</w:t>
            </w:r>
            <w:r w:rsidRPr="00C44EE6">
              <w:rPr>
                <w:i/>
                <w:iCs/>
                <w:sz w:val="24"/>
                <w:szCs w:val="24"/>
                <w:lang w:val="ky-KG" w:eastAsia="en-US"/>
              </w:rPr>
              <w:t>4</w:t>
            </w:r>
            <w:r w:rsidRPr="00C44EE6">
              <w:rPr>
                <w:i/>
                <w:iCs/>
                <w:sz w:val="24"/>
                <w:szCs w:val="24"/>
                <w:lang w:eastAsia="en-US"/>
              </w:rPr>
              <w:t xml:space="preserve"> года (по сравнению с декабрем предыдущего года) составил</w:t>
            </w:r>
            <w:r w:rsidRPr="00C44EE6">
              <w:rPr>
                <w:i/>
                <w:iCs/>
                <w:sz w:val="24"/>
                <w:szCs w:val="24"/>
                <w:lang w:val="ky-KG" w:eastAsia="en-US"/>
              </w:rPr>
              <w:t>и</w:t>
            </w:r>
            <w:r w:rsidRPr="00C44EE6">
              <w:rPr>
                <w:i/>
                <w:iCs/>
                <w:sz w:val="24"/>
                <w:szCs w:val="24"/>
                <w:lang w:eastAsia="en-US"/>
              </w:rPr>
              <w:t xml:space="preserve"> 10</w:t>
            </w:r>
            <w:r w:rsidRPr="00C44EE6">
              <w:rPr>
                <w:i/>
                <w:iCs/>
                <w:sz w:val="24"/>
                <w:szCs w:val="24"/>
                <w:lang w:val="ky-KG" w:eastAsia="en-US"/>
              </w:rPr>
              <w:t>4,6</w:t>
            </w:r>
            <w:r w:rsidRPr="00C44EE6">
              <w:rPr>
                <w:i/>
                <w:iCs/>
                <w:sz w:val="24"/>
                <w:szCs w:val="24"/>
                <w:lang w:eastAsia="en-US"/>
              </w:rPr>
              <w:t xml:space="preserve"> процента, что является самым высоким показателем за </w:t>
            </w:r>
            <w:r w:rsidRPr="00C44EE6">
              <w:rPr>
                <w:i/>
                <w:iCs/>
                <w:sz w:val="24"/>
                <w:szCs w:val="24"/>
              </w:rPr>
              <w:t xml:space="preserve">последние пять лет. </w:t>
            </w:r>
          </w:p>
        </w:tc>
      </w:tr>
      <w:tr w:rsidR="00C44EE6" w:rsidRPr="00C44EE6" w14:paraId="48C0ABF2" w14:textId="77777777" w:rsidTr="00372228">
        <w:tc>
          <w:tcPr>
            <w:tcW w:w="4819" w:type="dxa"/>
          </w:tcPr>
          <w:p w14:paraId="0D845FBD" w14:textId="01A44915" w:rsidR="000016BB" w:rsidRPr="00C44EE6" w:rsidRDefault="000016BB" w:rsidP="000016BB">
            <w:pPr>
              <w:pStyle w:val="24"/>
              <w:jc w:val="both"/>
              <w:rPr>
                <w:b/>
                <w:bCs/>
                <w:sz w:val="24"/>
                <w:szCs w:val="24"/>
                <w:lang w:val="ky-KG"/>
              </w:rPr>
            </w:pPr>
            <w:r w:rsidRPr="00C44EE6">
              <w:rPr>
                <w:sz w:val="24"/>
                <w:szCs w:val="24"/>
                <w:lang w:val="ky-KG"/>
              </w:rPr>
              <w:t xml:space="preserve">           Акыркы беш жылдын ичинде, облус боюнча инфляция деңгээлинин өзгөрүшүнө ар кандай факторлор таасирин тийгизип келет. </w:t>
            </w:r>
          </w:p>
        </w:tc>
        <w:tc>
          <w:tcPr>
            <w:tcW w:w="4678" w:type="dxa"/>
          </w:tcPr>
          <w:p w14:paraId="2A598E9B" w14:textId="60AE833D" w:rsidR="000016BB" w:rsidRPr="00C44EE6" w:rsidRDefault="000016BB" w:rsidP="000016BB">
            <w:pPr>
              <w:pStyle w:val="24"/>
              <w:ind w:firstLine="709"/>
              <w:jc w:val="both"/>
              <w:rPr>
                <w:b/>
                <w:bCs/>
                <w:i/>
                <w:iCs/>
                <w:sz w:val="24"/>
                <w:szCs w:val="24"/>
              </w:rPr>
            </w:pPr>
            <w:r w:rsidRPr="00C44EE6">
              <w:rPr>
                <w:i/>
                <w:iCs/>
                <w:sz w:val="24"/>
                <w:szCs w:val="24"/>
              </w:rPr>
              <w:t>На изменение уровня инфляции по области в последние пять лет оказывали влияние различные факторы.</w:t>
            </w:r>
          </w:p>
        </w:tc>
      </w:tr>
      <w:tr w:rsidR="000016BB" w:rsidRPr="00C44EE6" w14:paraId="10E8B295" w14:textId="77777777" w:rsidTr="00372228">
        <w:tc>
          <w:tcPr>
            <w:tcW w:w="4819" w:type="dxa"/>
          </w:tcPr>
          <w:p w14:paraId="22914260" w14:textId="5658130E" w:rsidR="000016BB" w:rsidRPr="00C44EE6" w:rsidRDefault="000016BB" w:rsidP="000016BB">
            <w:pPr>
              <w:pStyle w:val="24"/>
              <w:spacing w:before="240"/>
              <w:ind w:firstLine="709"/>
              <w:jc w:val="both"/>
              <w:rPr>
                <w:sz w:val="24"/>
                <w:szCs w:val="24"/>
                <w:lang w:val="ky-KG"/>
              </w:rPr>
            </w:pPr>
            <w:r w:rsidRPr="00C44EE6">
              <w:rPr>
                <w:sz w:val="24"/>
                <w:szCs w:val="24"/>
                <w:lang w:val="ky-KG"/>
              </w:rPr>
              <w:t>2020-20</w:t>
            </w:r>
            <w:r w:rsidRPr="00C44EE6">
              <w:rPr>
                <w:sz w:val="24"/>
                <w:szCs w:val="24"/>
              </w:rPr>
              <w:t>2</w:t>
            </w:r>
            <w:r w:rsidRPr="00C44EE6">
              <w:rPr>
                <w:sz w:val="24"/>
                <w:szCs w:val="24"/>
                <w:lang w:val="ky-KG"/>
              </w:rPr>
              <w:t>1 жыл</w:t>
            </w:r>
            <w:r w:rsidRPr="00C44EE6">
              <w:rPr>
                <w:sz w:val="24"/>
                <w:szCs w:val="24"/>
              </w:rPr>
              <w:t xml:space="preserve">дары </w:t>
            </w:r>
            <w:proofErr w:type="spellStart"/>
            <w:r w:rsidRPr="00C44EE6">
              <w:rPr>
                <w:sz w:val="24"/>
                <w:szCs w:val="24"/>
              </w:rPr>
              <w:t>кызмат</w:t>
            </w:r>
            <w:proofErr w:type="spellEnd"/>
            <w:r w:rsidRPr="00C44EE6">
              <w:rPr>
                <w:sz w:val="24"/>
                <w:szCs w:val="24"/>
              </w:rPr>
              <w:t xml:space="preserve"> </w:t>
            </w:r>
            <w:proofErr w:type="spellStart"/>
            <w:r w:rsidRPr="00C44EE6">
              <w:rPr>
                <w:sz w:val="24"/>
                <w:szCs w:val="24"/>
              </w:rPr>
              <w:t>көрсөтүүлөргө</w:t>
            </w:r>
            <w:proofErr w:type="spellEnd"/>
            <w:r w:rsidRPr="00C44EE6">
              <w:rPr>
                <w:sz w:val="24"/>
                <w:szCs w:val="24"/>
              </w:rPr>
              <w:t xml:space="preserve"> </w:t>
            </w:r>
            <w:proofErr w:type="spellStart"/>
            <w:r w:rsidRPr="00C44EE6">
              <w:rPr>
                <w:sz w:val="24"/>
                <w:szCs w:val="24"/>
              </w:rPr>
              <w:t>тарифтердин</w:t>
            </w:r>
            <w:proofErr w:type="spellEnd"/>
            <w:r w:rsidRPr="00C44EE6">
              <w:rPr>
                <w:sz w:val="24"/>
                <w:szCs w:val="24"/>
              </w:rPr>
              <w:t xml:space="preserve">  </w:t>
            </w:r>
            <w:r w:rsidRPr="00C44EE6">
              <w:rPr>
                <w:sz w:val="24"/>
                <w:szCs w:val="24"/>
                <w:lang w:val="ky-KG"/>
              </w:rPr>
              <w:t>ө</w:t>
            </w:r>
            <w:proofErr w:type="spellStart"/>
            <w:r w:rsidRPr="00C44EE6">
              <w:rPr>
                <w:sz w:val="24"/>
                <w:szCs w:val="24"/>
              </w:rPr>
              <w:t>сүшү</w:t>
            </w:r>
            <w:proofErr w:type="spellEnd"/>
            <w:r w:rsidRPr="00C44EE6">
              <w:rPr>
                <w:sz w:val="24"/>
                <w:szCs w:val="24"/>
              </w:rPr>
              <w:t xml:space="preserve"> </w:t>
            </w:r>
            <w:proofErr w:type="spellStart"/>
            <w:r w:rsidRPr="00C44EE6">
              <w:rPr>
                <w:sz w:val="24"/>
                <w:szCs w:val="24"/>
              </w:rPr>
              <w:t>товарл</w:t>
            </w:r>
            <w:proofErr w:type="spellEnd"/>
            <w:r w:rsidRPr="00C44EE6">
              <w:rPr>
                <w:sz w:val="24"/>
                <w:szCs w:val="24"/>
                <w:lang w:val="ky-KG"/>
              </w:rPr>
              <w:t>а</w:t>
            </w:r>
            <w:proofErr w:type="spellStart"/>
            <w:r w:rsidRPr="00C44EE6">
              <w:rPr>
                <w:sz w:val="24"/>
                <w:szCs w:val="24"/>
              </w:rPr>
              <w:t>рга</w:t>
            </w:r>
            <w:proofErr w:type="spellEnd"/>
            <w:r w:rsidRPr="00C44EE6">
              <w:rPr>
                <w:sz w:val="24"/>
                <w:szCs w:val="24"/>
                <w:lang w:val="ky-KG"/>
              </w:rPr>
              <w:t xml:space="preserve"> болгон  баанын өсүшүнөн ашып кетсе, анда акыркы уч жылда, тескерисинче, товарлардын баасы кызмат көрсөтүүлөргө тарифтердин деңгээлинен ашып кеткен. Ошол эле учурда товарларга да кызмат көрсөтүүлөргө да баалардын   жана тарифдердин максималдуу өсүшү 2024 жылы катталган.</w:t>
            </w:r>
          </w:p>
        </w:tc>
        <w:tc>
          <w:tcPr>
            <w:tcW w:w="4678" w:type="dxa"/>
          </w:tcPr>
          <w:p w14:paraId="21EDB359" w14:textId="77777777" w:rsidR="000016BB" w:rsidRPr="00C44EE6" w:rsidRDefault="000016BB" w:rsidP="000016BB">
            <w:pPr>
              <w:pStyle w:val="24"/>
              <w:ind w:firstLine="709"/>
              <w:jc w:val="both"/>
              <w:rPr>
                <w:i/>
                <w:iCs/>
                <w:sz w:val="24"/>
                <w:szCs w:val="24"/>
              </w:rPr>
            </w:pPr>
            <w:r w:rsidRPr="00C44EE6">
              <w:rPr>
                <w:i/>
                <w:iCs/>
                <w:sz w:val="24"/>
                <w:szCs w:val="24"/>
              </w:rPr>
              <w:t>Если в 20</w:t>
            </w:r>
            <w:r w:rsidRPr="00C44EE6">
              <w:rPr>
                <w:i/>
                <w:iCs/>
                <w:sz w:val="24"/>
                <w:szCs w:val="24"/>
                <w:lang w:val="ky-KG"/>
              </w:rPr>
              <w:t>20</w:t>
            </w:r>
            <w:r w:rsidRPr="00C44EE6">
              <w:rPr>
                <w:i/>
                <w:iCs/>
                <w:sz w:val="24"/>
                <w:szCs w:val="24"/>
              </w:rPr>
              <w:t xml:space="preserve"> и 202</w:t>
            </w:r>
            <w:r w:rsidRPr="00C44EE6">
              <w:rPr>
                <w:i/>
                <w:iCs/>
                <w:sz w:val="24"/>
                <w:szCs w:val="24"/>
                <w:lang w:val="ky-KG"/>
              </w:rPr>
              <w:t>1</w:t>
            </w:r>
            <w:r w:rsidRPr="00C44EE6">
              <w:rPr>
                <w:i/>
                <w:iCs/>
                <w:sz w:val="24"/>
                <w:szCs w:val="24"/>
              </w:rPr>
              <w:t xml:space="preserve"> годах рост тарифов на услуги превышал рост цен на товары, то за последние три года, напротив, цены на товары превышали уровень тарифов на услуги. При этом, максимальный прирост цен и тарифов как на товары, так на услуги зафиксирован в 202</w:t>
            </w:r>
            <w:r w:rsidRPr="00C44EE6">
              <w:rPr>
                <w:i/>
                <w:iCs/>
                <w:sz w:val="24"/>
                <w:szCs w:val="24"/>
                <w:lang w:val="ky-KG"/>
              </w:rPr>
              <w:t>4</w:t>
            </w:r>
            <w:r w:rsidRPr="00C44EE6">
              <w:rPr>
                <w:i/>
                <w:iCs/>
                <w:sz w:val="24"/>
                <w:szCs w:val="24"/>
              </w:rPr>
              <w:t xml:space="preserve"> году.</w:t>
            </w:r>
          </w:p>
          <w:p w14:paraId="1B57C336" w14:textId="77777777" w:rsidR="000016BB" w:rsidRPr="00C44EE6" w:rsidRDefault="000016BB" w:rsidP="000016BB">
            <w:pPr>
              <w:pStyle w:val="24"/>
              <w:ind w:firstLine="709"/>
              <w:jc w:val="both"/>
              <w:rPr>
                <w:i/>
                <w:iCs/>
                <w:sz w:val="24"/>
                <w:szCs w:val="24"/>
              </w:rPr>
            </w:pPr>
          </w:p>
        </w:tc>
      </w:tr>
    </w:tbl>
    <w:p w14:paraId="4A17A7F0" w14:textId="77777777" w:rsidR="001A28ED" w:rsidRPr="00C44EE6" w:rsidRDefault="001A28ED" w:rsidP="001A28ED"/>
    <w:tbl>
      <w:tblPr>
        <w:tblW w:w="9497" w:type="dxa"/>
        <w:tblInd w:w="284" w:type="dxa"/>
        <w:tblLook w:val="00A0" w:firstRow="1" w:lastRow="0" w:firstColumn="1" w:lastColumn="0" w:noHBand="0" w:noVBand="0"/>
      </w:tblPr>
      <w:tblGrid>
        <w:gridCol w:w="4819"/>
        <w:gridCol w:w="4678"/>
      </w:tblGrid>
      <w:tr w:rsidR="00C44EE6" w:rsidRPr="00C44EE6" w14:paraId="0E96C152" w14:textId="77777777" w:rsidTr="00372228">
        <w:tc>
          <w:tcPr>
            <w:tcW w:w="4819" w:type="dxa"/>
          </w:tcPr>
          <w:p w14:paraId="3EC9916E" w14:textId="77777777" w:rsidR="000016BB" w:rsidRPr="00C44EE6" w:rsidRDefault="000016BB" w:rsidP="000016BB">
            <w:pPr>
              <w:pStyle w:val="24"/>
              <w:jc w:val="center"/>
              <w:rPr>
                <w:b/>
                <w:bCs/>
                <w:sz w:val="24"/>
                <w:szCs w:val="24"/>
                <w:lang w:val="ky-KG"/>
              </w:rPr>
            </w:pPr>
            <w:r w:rsidRPr="00C44EE6">
              <w:rPr>
                <w:b/>
                <w:bCs/>
                <w:sz w:val="24"/>
                <w:szCs w:val="24"/>
                <w:lang w:val="ky-KG"/>
              </w:rPr>
              <w:t xml:space="preserve">2020-2024-жылдардагы керектөө бааларынын индекси </w:t>
            </w:r>
          </w:p>
          <w:p w14:paraId="089289AB" w14:textId="4226F528" w:rsidR="000016BB" w:rsidRPr="00C44EE6" w:rsidRDefault="000016BB" w:rsidP="000016BB">
            <w:pPr>
              <w:pStyle w:val="24"/>
              <w:jc w:val="center"/>
              <w:rPr>
                <w:sz w:val="24"/>
                <w:szCs w:val="24"/>
                <w:lang w:val="ky-KG"/>
              </w:rPr>
            </w:pPr>
            <w:r w:rsidRPr="00C44EE6">
              <w:rPr>
                <w:sz w:val="24"/>
                <w:szCs w:val="24"/>
                <w:lang w:val="ky-KG"/>
              </w:rPr>
              <w:t>(өткөн жылдын бештин айына салыштырмалуу пайыз менен)</w:t>
            </w:r>
            <w:r w:rsidRPr="00C44EE6">
              <w:rPr>
                <w:b/>
                <w:bCs/>
                <w:sz w:val="24"/>
                <w:szCs w:val="24"/>
                <w:lang w:val="ky-KG"/>
              </w:rPr>
              <w:t xml:space="preserve"> </w:t>
            </w:r>
          </w:p>
          <w:p w14:paraId="78B812AD" w14:textId="4B0A5417" w:rsidR="001A28ED" w:rsidRPr="00C44EE6" w:rsidRDefault="001A28ED" w:rsidP="00A65AD5">
            <w:pPr>
              <w:pStyle w:val="24"/>
              <w:jc w:val="center"/>
              <w:rPr>
                <w:sz w:val="24"/>
                <w:szCs w:val="24"/>
                <w:lang w:val="ky-KG"/>
              </w:rPr>
            </w:pPr>
          </w:p>
        </w:tc>
        <w:tc>
          <w:tcPr>
            <w:tcW w:w="4678" w:type="dxa"/>
          </w:tcPr>
          <w:p w14:paraId="150A0341" w14:textId="77777777" w:rsidR="000016BB" w:rsidRPr="00C44EE6" w:rsidRDefault="000016BB" w:rsidP="000016BB">
            <w:pPr>
              <w:pageBreakBefore/>
              <w:ind w:firstLine="35"/>
              <w:jc w:val="center"/>
              <w:rPr>
                <w:b/>
                <w:bCs/>
                <w:i/>
                <w:iCs/>
                <w:sz w:val="24"/>
                <w:szCs w:val="24"/>
              </w:rPr>
            </w:pPr>
            <w:r w:rsidRPr="00C44EE6">
              <w:rPr>
                <w:b/>
                <w:bCs/>
                <w:i/>
                <w:iCs/>
                <w:sz w:val="24"/>
                <w:szCs w:val="24"/>
              </w:rPr>
              <w:t>Индекс потребительских</w:t>
            </w:r>
          </w:p>
          <w:p w14:paraId="3C2B89BD" w14:textId="77777777" w:rsidR="000016BB" w:rsidRPr="00C44EE6" w:rsidRDefault="000016BB" w:rsidP="000016BB">
            <w:pPr>
              <w:pageBreakBefore/>
              <w:ind w:firstLine="35"/>
              <w:jc w:val="center"/>
              <w:rPr>
                <w:b/>
                <w:bCs/>
                <w:i/>
                <w:iCs/>
                <w:sz w:val="24"/>
                <w:szCs w:val="24"/>
              </w:rPr>
            </w:pPr>
            <w:r w:rsidRPr="00C44EE6">
              <w:rPr>
                <w:b/>
                <w:bCs/>
                <w:i/>
                <w:iCs/>
                <w:sz w:val="24"/>
                <w:szCs w:val="24"/>
              </w:rPr>
              <w:t>цен в 20</w:t>
            </w:r>
            <w:r w:rsidRPr="00C44EE6">
              <w:rPr>
                <w:b/>
                <w:bCs/>
                <w:i/>
                <w:iCs/>
                <w:sz w:val="24"/>
                <w:szCs w:val="24"/>
                <w:lang w:val="ky-KG"/>
              </w:rPr>
              <w:t>20</w:t>
            </w:r>
            <w:r w:rsidRPr="00C44EE6">
              <w:rPr>
                <w:b/>
                <w:bCs/>
                <w:i/>
                <w:iCs/>
                <w:sz w:val="24"/>
                <w:szCs w:val="24"/>
              </w:rPr>
              <w:t>-202</w:t>
            </w:r>
            <w:r w:rsidRPr="00C44EE6">
              <w:rPr>
                <w:b/>
                <w:bCs/>
                <w:i/>
                <w:iCs/>
                <w:sz w:val="24"/>
                <w:szCs w:val="24"/>
                <w:lang w:val="ky-KG"/>
              </w:rPr>
              <w:t>4</w:t>
            </w:r>
            <w:r w:rsidRPr="00C44EE6">
              <w:rPr>
                <w:b/>
                <w:bCs/>
                <w:i/>
                <w:iCs/>
                <w:sz w:val="24"/>
                <w:szCs w:val="24"/>
              </w:rPr>
              <w:t xml:space="preserve"> годы</w:t>
            </w:r>
          </w:p>
          <w:p w14:paraId="6D4FE92E" w14:textId="77777777" w:rsidR="000016BB" w:rsidRPr="00C44EE6" w:rsidRDefault="000016BB" w:rsidP="000016BB">
            <w:pPr>
              <w:tabs>
                <w:tab w:val="center" w:pos="5173"/>
                <w:tab w:val="left" w:pos="8910"/>
              </w:tabs>
              <w:ind w:firstLine="35"/>
              <w:jc w:val="center"/>
              <w:rPr>
                <w:i/>
                <w:iCs/>
                <w:sz w:val="24"/>
                <w:szCs w:val="24"/>
              </w:rPr>
            </w:pPr>
            <w:r w:rsidRPr="00C44EE6">
              <w:rPr>
                <w:i/>
                <w:iCs/>
                <w:sz w:val="24"/>
                <w:szCs w:val="24"/>
              </w:rPr>
              <w:t>(в процентах к декабрю</w:t>
            </w:r>
          </w:p>
          <w:p w14:paraId="48B16178" w14:textId="474B5A2C" w:rsidR="000016BB" w:rsidRPr="00C44EE6" w:rsidRDefault="000016BB" w:rsidP="000016BB">
            <w:pPr>
              <w:pageBreakBefore/>
              <w:ind w:firstLine="35"/>
              <w:jc w:val="center"/>
              <w:rPr>
                <w:i/>
                <w:iCs/>
                <w:sz w:val="24"/>
                <w:szCs w:val="24"/>
              </w:rPr>
            </w:pPr>
            <w:r w:rsidRPr="00C44EE6">
              <w:rPr>
                <w:i/>
                <w:iCs/>
                <w:sz w:val="24"/>
                <w:szCs w:val="24"/>
              </w:rPr>
              <w:t>предыдущего года)</w:t>
            </w:r>
          </w:p>
          <w:p w14:paraId="5AC9E659" w14:textId="3C2C1543" w:rsidR="001A28ED" w:rsidRPr="00C44EE6" w:rsidRDefault="001A28ED" w:rsidP="00A65AD5">
            <w:pPr>
              <w:pStyle w:val="24"/>
              <w:ind w:firstLine="35"/>
              <w:jc w:val="center"/>
              <w:rPr>
                <w:i/>
                <w:iCs/>
                <w:sz w:val="24"/>
                <w:szCs w:val="24"/>
              </w:rPr>
            </w:pPr>
          </w:p>
        </w:tc>
      </w:tr>
    </w:tbl>
    <w:p w14:paraId="48832A39" w14:textId="35F1E760" w:rsidR="001A28ED" w:rsidRPr="00C44EE6" w:rsidRDefault="00214E99" w:rsidP="001A28ED">
      <w:pPr>
        <w:rPr>
          <w:lang w:val="ky-KG"/>
        </w:rPr>
      </w:pPr>
      <w:r w:rsidRPr="00C44EE6">
        <w:rPr>
          <w:noProof/>
        </w:rPr>
        <w:drawing>
          <wp:inline distT="0" distB="0" distL="0" distR="0" wp14:anchorId="1C46162F" wp14:editId="4051D7BB">
            <wp:extent cx="6219825" cy="3705225"/>
            <wp:effectExtent l="0" t="0" r="9525" b="9525"/>
            <wp:docPr id="925190349"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AF7B8D4" w14:textId="77777777" w:rsidR="001A28ED" w:rsidRPr="00C44EE6" w:rsidRDefault="001A28ED" w:rsidP="001A28ED"/>
    <w:p w14:paraId="3C7A7AFA" w14:textId="77777777" w:rsidR="001A28ED" w:rsidRPr="00C44EE6" w:rsidRDefault="001A28ED" w:rsidP="001A28ED"/>
    <w:tbl>
      <w:tblPr>
        <w:tblW w:w="9497" w:type="dxa"/>
        <w:tblInd w:w="284" w:type="dxa"/>
        <w:tblLook w:val="00A0" w:firstRow="1" w:lastRow="0" w:firstColumn="1" w:lastColumn="0" w:noHBand="0" w:noVBand="0"/>
      </w:tblPr>
      <w:tblGrid>
        <w:gridCol w:w="4819"/>
        <w:gridCol w:w="4678"/>
      </w:tblGrid>
      <w:tr w:rsidR="00C44EE6" w:rsidRPr="00C44EE6" w14:paraId="5A6361F0" w14:textId="77777777" w:rsidTr="00372228">
        <w:tc>
          <w:tcPr>
            <w:tcW w:w="4819" w:type="dxa"/>
          </w:tcPr>
          <w:p w14:paraId="6666F369" w14:textId="77777777" w:rsidR="00214E99" w:rsidRPr="00C44EE6" w:rsidRDefault="00214E99" w:rsidP="00214E99">
            <w:pPr>
              <w:ind w:firstLine="720"/>
              <w:jc w:val="both"/>
              <w:rPr>
                <w:sz w:val="24"/>
                <w:szCs w:val="24"/>
                <w:lang w:val="ky-KG"/>
              </w:rPr>
            </w:pPr>
            <w:r w:rsidRPr="00C44EE6">
              <w:rPr>
                <w:sz w:val="24"/>
                <w:szCs w:val="24"/>
                <w:lang w:val="ky-KG"/>
              </w:rPr>
              <w:t>2024-жылдын январь-декабрын өткөн жылдын декабрына салыштырмалуу азык-түлүк товарларына жана алкоголсуз суусундуктарга баа жалпысынан 104,6 пайызга жогорулаган. Мында  азык түлүк товарларынын дээрлик бардык топтору боюнча баанын өсүшү белгиленген.</w:t>
            </w:r>
          </w:p>
          <w:p w14:paraId="1694E00F" w14:textId="77777777" w:rsidR="00214E99" w:rsidRPr="00C44EE6" w:rsidRDefault="00214E99" w:rsidP="00214E99">
            <w:pPr>
              <w:spacing w:before="240"/>
              <w:ind w:firstLine="720"/>
              <w:jc w:val="both"/>
              <w:rPr>
                <w:sz w:val="24"/>
                <w:szCs w:val="24"/>
                <w:lang w:val="ky-KG"/>
              </w:rPr>
            </w:pPr>
            <w:r w:rsidRPr="00C44EE6">
              <w:rPr>
                <w:sz w:val="24"/>
                <w:szCs w:val="24"/>
                <w:lang w:val="ky-KG"/>
              </w:rPr>
              <w:t>2024-жылдын январь-декабрында баалардын олуттуу өсүшү узун дан гүрүчүнө (0,6 пайызга), кемиген жаңы жашылчалар (7,1 пайызга) кем болуп, ал эми  кум шекер (1,3 пайызга) жогорулаган, өсүмдүк майы (3,7 пайызга), кем болгон  картошка (28,9 пайызга) жогорулаган. Өткөн жылы кой этинин  баасы (4,6 пайызга), уй этине (10,7 пайызга), жумурткага (1,1 пайызга), нанга (1,4 пайызга), унга (0,2 пайызга) өскөн.</w:t>
            </w:r>
          </w:p>
          <w:p w14:paraId="7DDFB4CF" w14:textId="68645BEA" w:rsidR="00214E99" w:rsidRPr="00C44EE6" w:rsidRDefault="00214E99" w:rsidP="00214E99">
            <w:pPr>
              <w:ind w:firstLine="720"/>
              <w:jc w:val="both"/>
              <w:rPr>
                <w:sz w:val="24"/>
                <w:szCs w:val="24"/>
                <w:lang w:val="ky-KG"/>
              </w:rPr>
            </w:pPr>
            <w:r w:rsidRPr="00C44EE6">
              <w:rPr>
                <w:sz w:val="24"/>
                <w:szCs w:val="24"/>
                <w:lang w:val="ky-KG"/>
              </w:rPr>
              <w:t>Облус боюнча алкоголсуз суусундуктарга баалардын өсүшү (0,1 пайызды) түздү.</w:t>
            </w:r>
          </w:p>
        </w:tc>
        <w:tc>
          <w:tcPr>
            <w:tcW w:w="4678" w:type="dxa"/>
          </w:tcPr>
          <w:p w14:paraId="609B5FF7" w14:textId="77777777" w:rsidR="00214E99" w:rsidRPr="00C44EE6" w:rsidRDefault="00214E99" w:rsidP="00214E99">
            <w:pPr>
              <w:ind w:firstLine="720"/>
              <w:jc w:val="both"/>
              <w:rPr>
                <w:i/>
                <w:iCs/>
                <w:sz w:val="24"/>
                <w:szCs w:val="24"/>
              </w:rPr>
            </w:pPr>
            <w:r w:rsidRPr="00C44EE6">
              <w:rPr>
                <w:i/>
                <w:iCs/>
                <w:sz w:val="24"/>
                <w:szCs w:val="24"/>
              </w:rPr>
              <w:t>В январе-декабре 20</w:t>
            </w:r>
            <w:r w:rsidRPr="00C44EE6">
              <w:rPr>
                <w:i/>
                <w:iCs/>
                <w:sz w:val="24"/>
                <w:szCs w:val="24"/>
                <w:lang w:val="ky-KG"/>
              </w:rPr>
              <w:t>24</w:t>
            </w:r>
            <w:r w:rsidRPr="00C44EE6">
              <w:rPr>
                <w:i/>
                <w:iCs/>
                <w:sz w:val="24"/>
                <w:szCs w:val="24"/>
              </w:rPr>
              <w:t xml:space="preserve"> года (по сравнению с декабрем предыдущего года) цены на пищевые продукты и безалкогольные напитки в целом возросли на </w:t>
            </w:r>
            <w:r w:rsidRPr="00C44EE6">
              <w:rPr>
                <w:i/>
                <w:iCs/>
                <w:sz w:val="24"/>
                <w:szCs w:val="24"/>
                <w:lang w:val="ky-KG"/>
              </w:rPr>
              <w:t>104,6</w:t>
            </w:r>
            <w:r w:rsidRPr="00C44EE6">
              <w:rPr>
                <w:i/>
                <w:iCs/>
                <w:sz w:val="24"/>
                <w:szCs w:val="24"/>
              </w:rPr>
              <w:t xml:space="preserve"> процента. При этом, повышение цен отмечалось практически на все группы продовольственных товаров. </w:t>
            </w:r>
          </w:p>
          <w:p w14:paraId="4918E058" w14:textId="43BD81D6" w:rsidR="00214E99" w:rsidRPr="00C44EE6" w:rsidRDefault="00214E99" w:rsidP="00214E99">
            <w:pPr>
              <w:ind w:firstLine="720"/>
              <w:jc w:val="both"/>
              <w:rPr>
                <w:i/>
                <w:iCs/>
                <w:sz w:val="24"/>
                <w:szCs w:val="24"/>
                <w:lang w:val="ky-KG"/>
              </w:rPr>
            </w:pPr>
            <w:r w:rsidRPr="00C44EE6">
              <w:rPr>
                <w:i/>
                <w:iCs/>
                <w:sz w:val="24"/>
                <w:szCs w:val="24"/>
              </w:rPr>
              <w:t>Значительное по</w:t>
            </w:r>
            <w:r w:rsidRPr="00C44EE6">
              <w:rPr>
                <w:i/>
                <w:iCs/>
                <w:sz w:val="24"/>
                <w:szCs w:val="24"/>
                <w:lang w:val="ky-KG"/>
              </w:rPr>
              <w:t>вышение</w:t>
            </w:r>
            <w:r w:rsidRPr="00C44EE6">
              <w:rPr>
                <w:i/>
                <w:iCs/>
                <w:sz w:val="24"/>
                <w:szCs w:val="24"/>
              </w:rPr>
              <w:t xml:space="preserve"> цен </w:t>
            </w:r>
            <w:r w:rsidRPr="00C44EE6">
              <w:rPr>
                <w:i/>
                <w:iCs/>
                <w:sz w:val="24"/>
                <w:szCs w:val="24"/>
                <w:lang w:val="ky-KG"/>
              </w:rPr>
              <w:t xml:space="preserve">в январе-декабре </w:t>
            </w:r>
            <w:r w:rsidRPr="00C44EE6">
              <w:rPr>
                <w:i/>
                <w:iCs/>
                <w:sz w:val="24"/>
                <w:szCs w:val="24"/>
              </w:rPr>
              <w:t>20</w:t>
            </w:r>
            <w:r w:rsidRPr="00C44EE6">
              <w:rPr>
                <w:i/>
                <w:iCs/>
                <w:sz w:val="24"/>
                <w:szCs w:val="24"/>
                <w:lang w:val="ky-KG"/>
              </w:rPr>
              <w:t>24</w:t>
            </w:r>
            <w:r w:rsidRPr="00C44EE6">
              <w:rPr>
                <w:i/>
                <w:iCs/>
                <w:sz w:val="24"/>
                <w:szCs w:val="24"/>
              </w:rPr>
              <w:t xml:space="preserve"> году наблюдалось </w:t>
            </w:r>
            <w:proofErr w:type="gramStart"/>
            <w:r w:rsidRPr="00C44EE6">
              <w:rPr>
                <w:i/>
                <w:iCs/>
                <w:sz w:val="24"/>
                <w:szCs w:val="24"/>
              </w:rPr>
              <w:t>на  рис</w:t>
            </w:r>
            <w:proofErr w:type="gramEnd"/>
            <w:r w:rsidRPr="00C44EE6">
              <w:rPr>
                <w:i/>
                <w:iCs/>
                <w:sz w:val="24"/>
                <w:szCs w:val="24"/>
              </w:rPr>
              <w:t xml:space="preserve"> </w:t>
            </w:r>
            <w:proofErr w:type="spellStart"/>
            <w:r w:rsidRPr="00C44EE6">
              <w:rPr>
                <w:i/>
                <w:iCs/>
                <w:sz w:val="24"/>
                <w:szCs w:val="24"/>
              </w:rPr>
              <w:t>длинозерный</w:t>
            </w:r>
            <w:proofErr w:type="spellEnd"/>
            <w:r w:rsidRPr="00C44EE6">
              <w:rPr>
                <w:i/>
                <w:iCs/>
                <w:sz w:val="24"/>
                <w:szCs w:val="24"/>
              </w:rPr>
              <w:t xml:space="preserve"> (на </w:t>
            </w:r>
            <w:r w:rsidRPr="00C44EE6">
              <w:rPr>
                <w:i/>
                <w:iCs/>
                <w:sz w:val="24"/>
                <w:szCs w:val="24"/>
                <w:lang w:val="ky-KG"/>
              </w:rPr>
              <w:t>0,6</w:t>
            </w:r>
            <w:r w:rsidRPr="00C44EE6">
              <w:rPr>
                <w:i/>
                <w:iCs/>
                <w:sz w:val="24"/>
                <w:szCs w:val="24"/>
              </w:rPr>
              <w:t xml:space="preserve"> процента), свежие овощи (на </w:t>
            </w:r>
            <w:r w:rsidRPr="00C44EE6">
              <w:rPr>
                <w:i/>
                <w:iCs/>
                <w:sz w:val="24"/>
                <w:szCs w:val="24"/>
                <w:lang w:val="ky-KG"/>
              </w:rPr>
              <w:t>7,1</w:t>
            </w:r>
            <w:r w:rsidRPr="00C44EE6">
              <w:rPr>
                <w:i/>
                <w:iCs/>
                <w:sz w:val="24"/>
                <w:szCs w:val="24"/>
              </w:rPr>
              <w:t xml:space="preserve"> процента</w:t>
            </w:r>
            <w:proofErr w:type="gramStart"/>
            <w:r w:rsidRPr="00C44EE6">
              <w:rPr>
                <w:i/>
                <w:iCs/>
                <w:sz w:val="24"/>
                <w:szCs w:val="24"/>
              </w:rPr>
              <w:t>)</w:t>
            </w:r>
            <w:r w:rsidRPr="00C44EE6">
              <w:rPr>
                <w:i/>
                <w:iCs/>
                <w:sz w:val="24"/>
                <w:szCs w:val="24"/>
                <w:lang w:val="ky-KG"/>
              </w:rPr>
              <w:t>,понизились</w:t>
            </w:r>
            <w:proofErr w:type="gramEnd"/>
            <w:r w:rsidRPr="00C44EE6">
              <w:rPr>
                <w:i/>
                <w:iCs/>
                <w:sz w:val="24"/>
                <w:szCs w:val="24"/>
              </w:rPr>
              <w:t xml:space="preserve"> сахар-песок (на </w:t>
            </w:r>
            <w:r w:rsidRPr="00C44EE6">
              <w:rPr>
                <w:i/>
                <w:iCs/>
                <w:sz w:val="24"/>
                <w:szCs w:val="24"/>
                <w:lang w:val="ky-KG"/>
              </w:rPr>
              <w:t>1,3</w:t>
            </w:r>
            <w:r w:rsidRPr="00C44EE6">
              <w:rPr>
                <w:i/>
                <w:iCs/>
                <w:sz w:val="24"/>
                <w:szCs w:val="24"/>
              </w:rPr>
              <w:t xml:space="preserve"> процента), растительные масла (на </w:t>
            </w:r>
            <w:r w:rsidRPr="00C44EE6">
              <w:rPr>
                <w:i/>
                <w:iCs/>
                <w:sz w:val="24"/>
                <w:szCs w:val="24"/>
                <w:lang w:val="ky-KG"/>
              </w:rPr>
              <w:t>3,7</w:t>
            </w:r>
            <w:r w:rsidRPr="00C44EE6">
              <w:rPr>
                <w:i/>
                <w:iCs/>
                <w:sz w:val="24"/>
                <w:szCs w:val="24"/>
              </w:rPr>
              <w:t xml:space="preserve"> процента) и картофель (на </w:t>
            </w:r>
            <w:r w:rsidRPr="00C44EE6">
              <w:rPr>
                <w:i/>
                <w:iCs/>
                <w:sz w:val="24"/>
                <w:szCs w:val="24"/>
                <w:lang w:val="ky-KG"/>
              </w:rPr>
              <w:t>28,9</w:t>
            </w:r>
            <w:r w:rsidRPr="00C44EE6">
              <w:rPr>
                <w:i/>
                <w:iCs/>
                <w:sz w:val="24"/>
                <w:szCs w:val="24"/>
              </w:rPr>
              <w:t xml:space="preserve"> процента)</w:t>
            </w:r>
            <w:r w:rsidRPr="00C44EE6">
              <w:rPr>
                <w:i/>
                <w:iCs/>
                <w:sz w:val="24"/>
                <w:szCs w:val="24"/>
                <w:lang w:val="ky-KG"/>
              </w:rPr>
              <w:t xml:space="preserve"> повысились. Прирост цен на баранину в предыдущем году составил 4,6 процента, говядину ( 10,7процента), яйца – 1,1 процента, хлеб – 1,4 процента и муку – 0,2процента павысились. </w:t>
            </w:r>
            <w:r w:rsidRPr="00C44EE6">
              <w:rPr>
                <w:i/>
                <w:iCs/>
                <w:sz w:val="24"/>
                <w:szCs w:val="24"/>
              </w:rPr>
              <w:t>Прирост цен на безалкогольные напитки по об</w:t>
            </w:r>
            <w:r w:rsidRPr="00C44EE6">
              <w:rPr>
                <w:i/>
                <w:iCs/>
                <w:sz w:val="24"/>
                <w:szCs w:val="24"/>
                <w:lang w:val="ky-KG"/>
              </w:rPr>
              <w:t>ла</w:t>
            </w:r>
            <w:proofErr w:type="spellStart"/>
            <w:r w:rsidRPr="00C44EE6">
              <w:rPr>
                <w:i/>
                <w:iCs/>
                <w:sz w:val="24"/>
                <w:szCs w:val="24"/>
              </w:rPr>
              <w:t>сти</w:t>
            </w:r>
            <w:proofErr w:type="spellEnd"/>
            <w:r w:rsidRPr="00C44EE6">
              <w:rPr>
                <w:i/>
                <w:iCs/>
                <w:sz w:val="24"/>
                <w:szCs w:val="24"/>
              </w:rPr>
              <w:t xml:space="preserve"> составил </w:t>
            </w:r>
            <w:r w:rsidRPr="00C44EE6">
              <w:rPr>
                <w:i/>
                <w:iCs/>
                <w:sz w:val="24"/>
                <w:szCs w:val="24"/>
                <w:lang w:val="ky-KG"/>
              </w:rPr>
              <w:t xml:space="preserve">0,1 </w:t>
            </w:r>
            <w:r w:rsidRPr="00C44EE6">
              <w:rPr>
                <w:i/>
                <w:iCs/>
                <w:sz w:val="24"/>
                <w:szCs w:val="24"/>
              </w:rPr>
              <w:t>процента.</w:t>
            </w:r>
          </w:p>
        </w:tc>
      </w:tr>
      <w:tr w:rsidR="00C44EE6" w:rsidRPr="00C44EE6" w14:paraId="54181F5A" w14:textId="77777777" w:rsidTr="00372228">
        <w:tc>
          <w:tcPr>
            <w:tcW w:w="4819" w:type="dxa"/>
          </w:tcPr>
          <w:p w14:paraId="31B12974" w14:textId="0EA744D7" w:rsidR="00214E99" w:rsidRPr="00C44EE6" w:rsidRDefault="00214E99" w:rsidP="00214E99">
            <w:pPr>
              <w:ind w:firstLine="720"/>
              <w:jc w:val="both"/>
              <w:rPr>
                <w:sz w:val="24"/>
                <w:szCs w:val="24"/>
                <w:lang w:val="ky-KG"/>
              </w:rPr>
            </w:pPr>
            <w:r w:rsidRPr="00C44EE6">
              <w:rPr>
                <w:sz w:val="24"/>
                <w:szCs w:val="24"/>
                <w:lang w:val="ky-KG"/>
              </w:rPr>
              <w:t>2024-жылы алкоголдук ичимдиктерге баалар өткөн жылдын декабрына салыштырмалуу (</w:t>
            </w:r>
            <w:r w:rsidRPr="00C44EE6">
              <w:rPr>
                <w:sz w:val="24"/>
                <w:szCs w:val="24"/>
              </w:rPr>
              <w:t>7</w:t>
            </w:r>
            <w:r w:rsidRPr="00C44EE6">
              <w:rPr>
                <w:sz w:val="24"/>
                <w:szCs w:val="24"/>
                <w:lang w:val="ky-KG"/>
              </w:rPr>
              <w:t>,</w:t>
            </w:r>
            <w:r w:rsidRPr="00C44EE6">
              <w:rPr>
                <w:sz w:val="24"/>
                <w:szCs w:val="24"/>
              </w:rPr>
              <w:t>3</w:t>
            </w:r>
            <w:r w:rsidRPr="00C44EE6">
              <w:rPr>
                <w:sz w:val="24"/>
                <w:szCs w:val="24"/>
                <w:lang w:val="ky-KG"/>
              </w:rPr>
              <w:t xml:space="preserve"> пайызга) өскөн, бул акыркы беш жылдагы аларга болгон баалардын максималдуу өсүшү. Тамеки өткөн  жылга салыштырмалуу (1</w:t>
            </w:r>
            <w:r w:rsidRPr="00C44EE6">
              <w:rPr>
                <w:sz w:val="24"/>
                <w:szCs w:val="24"/>
              </w:rPr>
              <w:t>1,1</w:t>
            </w:r>
            <w:r w:rsidRPr="00C44EE6">
              <w:rPr>
                <w:sz w:val="24"/>
                <w:szCs w:val="24"/>
                <w:lang w:val="ky-KG"/>
              </w:rPr>
              <w:t xml:space="preserve"> пайызга) өскөн.</w:t>
            </w:r>
          </w:p>
        </w:tc>
        <w:tc>
          <w:tcPr>
            <w:tcW w:w="4678" w:type="dxa"/>
          </w:tcPr>
          <w:p w14:paraId="749004E1" w14:textId="7EDED0F5" w:rsidR="00214E99" w:rsidRPr="00C44EE6" w:rsidRDefault="00214E99" w:rsidP="00214E99">
            <w:pPr>
              <w:ind w:firstLine="720"/>
              <w:jc w:val="both"/>
              <w:rPr>
                <w:i/>
                <w:iCs/>
                <w:sz w:val="24"/>
                <w:szCs w:val="24"/>
                <w:lang w:val="ky-KG"/>
              </w:rPr>
            </w:pPr>
            <w:r w:rsidRPr="00C44EE6">
              <w:rPr>
                <w:i/>
                <w:iCs/>
                <w:sz w:val="24"/>
                <w:szCs w:val="24"/>
              </w:rPr>
              <w:t>Цены на алкогольные напитки в 202</w:t>
            </w:r>
            <w:r w:rsidRPr="00C44EE6">
              <w:rPr>
                <w:i/>
                <w:iCs/>
                <w:sz w:val="24"/>
                <w:szCs w:val="24"/>
                <w:lang w:val="ky-KG"/>
              </w:rPr>
              <w:t xml:space="preserve">4 </w:t>
            </w:r>
            <w:r w:rsidRPr="00C44EE6">
              <w:rPr>
                <w:i/>
                <w:iCs/>
                <w:sz w:val="24"/>
                <w:szCs w:val="24"/>
              </w:rPr>
              <w:t xml:space="preserve">году (по сравнению с декабрем предыдущего года) возросли на </w:t>
            </w:r>
            <w:r w:rsidRPr="00C44EE6">
              <w:rPr>
                <w:i/>
                <w:iCs/>
                <w:sz w:val="24"/>
                <w:szCs w:val="24"/>
                <w:lang w:val="ky-KG"/>
              </w:rPr>
              <w:t>7,3</w:t>
            </w:r>
            <w:r w:rsidRPr="00C44EE6">
              <w:rPr>
                <w:i/>
                <w:iCs/>
                <w:sz w:val="24"/>
                <w:szCs w:val="24"/>
              </w:rPr>
              <w:t xml:space="preserve"> процента, что является максимальным приростом цен на них за последние пять лет. Табачные изделия в предыдущем году подорожали на </w:t>
            </w:r>
            <w:r w:rsidRPr="00C44EE6">
              <w:rPr>
                <w:i/>
                <w:iCs/>
                <w:sz w:val="24"/>
                <w:szCs w:val="24"/>
                <w:lang w:val="ky-KG"/>
              </w:rPr>
              <w:t>11,1</w:t>
            </w:r>
            <w:r w:rsidRPr="00C44EE6">
              <w:rPr>
                <w:i/>
                <w:iCs/>
                <w:sz w:val="24"/>
                <w:szCs w:val="24"/>
              </w:rPr>
              <w:t xml:space="preserve"> процента</w:t>
            </w:r>
            <w:r w:rsidRPr="00C44EE6">
              <w:rPr>
                <w:i/>
                <w:iCs/>
                <w:sz w:val="24"/>
                <w:szCs w:val="24"/>
                <w:lang w:val="ky-KG"/>
              </w:rPr>
              <w:t xml:space="preserve"> повысились.</w:t>
            </w:r>
          </w:p>
        </w:tc>
      </w:tr>
      <w:tr w:rsidR="00C44EE6" w:rsidRPr="00C44EE6" w14:paraId="0A548E35" w14:textId="77777777" w:rsidTr="00372228">
        <w:tc>
          <w:tcPr>
            <w:tcW w:w="4819" w:type="dxa"/>
          </w:tcPr>
          <w:p w14:paraId="5F213156" w14:textId="77777777" w:rsidR="00214E99" w:rsidRPr="00C44EE6" w:rsidRDefault="00214E99" w:rsidP="00214E99">
            <w:pPr>
              <w:pStyle w:val="24"/>
              <w:ind w:firstLine="720"/>
              <w:jc w:val="both"/>
              <w:rPr>
                <w:sz w:val="24"/>
                <w:szCs w:val="24"/>
                <w:lang w:val="ky-KG"/>
              </w:rPr>
            </w:pPr>
            <w:r w:rsidRPr="00C44EE6">
              <w:rPr>
                <w:sz w:val="24"/>
                <w:szCs w:val="24"/>
                <w:lang w:val="ky-KG"/>
              </w:rPr>
              <w:t>2024-жылдын январь</w:t>
            </w:r>
            <w:r w:rsidRPr="00C44EE6">
              <w:rPr>
                <w:sz w:val="24"/>
                <w:szCs w:val="24"/>
              </w:rPr>
              <w:t>-</w:t>
            </w:r>
            <w:r w:rsidRPr="00C44EE6">
              <w:rPr>
                <w:sz w:val="24"/>
                <w:szCs w:val="24"/>
                <w:lang w:val="ky-KG"/>
              </w:rPr>
              <w:t>декабрында азык түлүк эмес товарлардын баасы (3,9 пайызга) жогорулады.  Турмуш тиричилик кездемелдери ( пайызга 1,5) эмеректерге жана пол каптагычтарга (1,9 пайызга), кийим кечеге (0,3 пайызга), чакан электр приборлору (12,0 пайызга)   өскөн.</w:t>
            </w:r>
          </w:p>
          <w:p w14:paraId="54DC5C56" w14:textId="176E8D15" w:rsidR="00214E99" w:rsidRPr="00C44EE6" w:rsidRDefault="00214E99" w:rsidP="00214E99">
            <w:pPr>
              <w:pStyle w:val="24"/>
              <w:ind w:firstLine="720"/>
              <w:jc w:val="both"/>
              <w:rPr>
                <w:sz w:val="24"/>
                <w:szCs w:val="24"/>
                <w:lang w:val="ky-KG"/>
              </w:rPr>
            </w:pPr>
            <w:r w:rsidRPr="00C44EE6">
              <w:rPr>
                <w:sz w:val="24"/>
                <w:szCs w:val="24"/>
                <w:lang w:val="ky-KG"/>
              </w:rPr>
              <w:t>Өткөн жылы бензин (0,5 пайызга) кемиген, ал эми дизель майы (0,2 пайызга) жана көмүрдүн баасы (18,6 пайызга) кымбаттаган.</w:t>
            </w:r>
          </w:p>
        </w:tc>
        <w:tc>
          <w:tcPr>
            <w:tcW w:w="4678" w:type="dxa"/>
          </w:tcPr>
          <w:p w14:paraId="2A006BBB" w14:textId="77777777" w:rsidR="00214E99" w:rsidRPr="00C44EE6" w:rsidRDefault="00214E99" w:rsidP="00214E99">
            <w:pPr>
              <w:pStyle w:val="24"/>
              <w:ind w:firstLine="720"/>
              <w:jc w:val="both"/>
              <w:rPr>
                <w:i/>
                <w:iCs/>
                <w:sz w:val="24"/>
                <w:szCs w:val="24"/>
              </w:rPr>
            </w:pPr>
            <w:r w:rsidRPr="00C44EE6">
              <w:rPr>
                <w:i/>
                <w:iCs/>
                <w:sz w:val="24"/>
                <w:szCs w:val="24"/>
              </w:rPr>
              <w:t>В январе-декабре 202</w:t>
            </w:r>
            <w:r w:rsidRPr="00C44EE6">
              <w:rPr>
                <w:i/>
                <w:iCs/>
                <w:sz w:val="24"/>
                <w:szCs w:val="24"/>
                <w:lang w:val="ky-KG"/>
              </w:rPr>
              <w:t>4</w:t>
            </w:r>
            <w:r w:rsidRPr="00C44EE6">
              <w:rPr>
                <w:i/>
                <w:iCs/>
                <w:sz w:val="24"/>
                <w:szCs w:val="24"/>
              </w:rPr>
              <w:t xml:space="preserve"> года цены на непродовольственные товары возросли на </w:t>
            </w:r>
            <w:r w:rsidRPr="00C44EE6">
              <w:rPr>
                <w:i/>
                <w:iCs/>
                <w:sz w:val="24"/>
                <w:szCs w:val="24"/>
                <w:lang w:val="ky-KG"/>
              </w:rPr>
              <w:t>3,9</w:t>
            </w:r>
            <w:r w:rsidRPr="00C44EE6">
              <w:rPr>
                <w:i/>
                <w:iCs/>
                <w:sz w:val="24"/>
                <w:szCs w:val="24"/>
              </w:rPr>
              <w:t xml:space="preserve"> процента. В значительной мере повысились цены на бытовые текстильные изделия (на </w:t>
            </w:r>
            <w:r w:rsidRPr="00C44EE6">
              <w:rPr>
                <w:i/>
                <w:iCs/>
                <w:sz w:val="24"/>
                <w:szCs w:val="24"/>
                <w:lang w:val="ky-KG"/>
              </w:rPr>
              <w:t>1,5</w:t>
            </w:r>
            <w:r w:rsidRPr="00C44EE6">
              <w:rPr>
                <w:i/>
                <w:iCs/>
                <w:sz w:val="24"/>
                <w:szCs w:val="24"/>
              </w:rPr>
              <w:t xml:space="preserve"> процента), мебель и напольные покрытия (на </w:t>
            </w:r>
            <w:r w:rsidRPr="00C44EE6">
              <w:rPr>
                <w:i/>
                <w:iCs/>
                <w:sz w:val="24"/>
                <w:szCs w:val="24"/>
                <w:lang w:val="ky-KG"/>
              </w:rPr>
              <w:t>1,9</w:t>
            </w:r>
            <w:r w:rsidRPr="00C44EE6">
              <w:rPr>
                <w:i/>
                <w:iCs/>
                <w:sz w:val="24"/>
                <w:szCs w:val="24"/>
              </w:rPr>
              <w:t xml:space="preserve"> процента), одежда (на</w:t>
            </w:r>
            <w:r w:rsidRPr="00C44EE6">
              <w:rPr>
                <w:i/>
                <w:iCs/>
                <w:sz w:val="24"/>
                <w:szCs w:val="24"/>
                <w:lang w:val="ky-KG"/>
              </w:rPr>
              <w:t xml:space="preserve"> 0,3 </w:t>
            </w:r>
            <w:r w:rsidRPr="00C44EE6">
              <w:rPr>
                <w:i/>
                <w:iCs/>
                <w:sz w:val="24"/>
                <w:szCs w:val="24"/>
              </w:rPr>
              <w:t xml:space="preserve">процента), малые электробытовые приборы (на </w:t>
            </w:r>
            <w:r w:rsidRPr="00C44EE6">
              <w:rPr>
                <w:i/>
                <w:iCs/>
                <w:sz w:val="24"/>
                <w:szCs w:val="24"/>
                <w:lang w:val="ky-KG"/>
              </w:rPr>
              <w:t>12,0</w:t>
            </w:r>
            <w:r w:rsidRPr="00C44EE6">
              <w:rPr>
                <w:i/>
                <w:iCs/>
                <w:sz w:val="24"/>
                <w:szCs w:val="24"/>
              </w:rPr>
              <w:t xml:space="preserve"> процента).</w:t>
            </w:r>
          </w:p>
          <w:p w14:paraId="3A1D1FAA" w14:textId="6D319EA0" w:rsidR="00214E99" w:rsidRPr="00C44EE6" w:rsidRDefault="00214E99" w:rsidP="00214E99">
            <w:pPr>
              <w:pStyle w:val="24"/>
              <w:ind w:firstLine="720"/>
              <w:jc w:val="both"/>
              <w:rPr>
                <w:i/>
                <w:iCs/>
                <w:sz w:val="24"/>
                <w:szCs w:val="24"/>
              </w:rPr>
            </w:pPr>
            <w:r w:rsidRPr="00C44EE6">
              <w:rPr>
                <w:i/>
                <w:iCs/>
                <w:sz w:val="24"/>
                <w:szCs w:val="24"/>
              </w:rPr>
              <w:t xml:space="preserve">В предыдущем году цены на бензин возросли в </w:t>
            </w:r>
            <w:r w:rsidRPr="00C44EE6">
              <w:rPr>
                <w:i/>
                <w:iCs/>
                <w:sz w:val="24"/>
                <w:szCs w:val="24"/>
                <w:lang w:val="ky-KG"/>
              </w:rPr>
              <w:t>0,5</w:t>
            </w:r>
            <w:r w:rsidRPr="00C44EE6">
              <w:rPr>
                <w:i/>
                <w:iCs/>
                <w:sz w:val="24"/>
                <w:szCs w:val="24"/>
              </w:rPr>
              <w:t xml:space="preserve"> раза,</w:t>
            </w:r>
            <w:r w:rsidRPr="00C44EE6">
              <w:rPr>
                <w:i/>
                <w:iCs/>
                <w:sz w:val="24"/>
                <w:szCs w:val="24"/>
                <w:lang w:val="ky-KG"/>
              </w:rPr>
              <w:t xml:space="preserve"> а</w:t>
            </w:r>
            <w:r w:rsidRPr="00C44EE6">
              <w:rPr>
                <w:i/>
                <w:iCs/>
                <w:sz w:val="24"/>
                <w:szCs w:val="24"/>
              </w:rPr>
              <w:t xml:space="preserve"> дизельное </w:t>
            </w:r>
            <w:proofErr w:type="gramStart"/>
            <w:r w:rsidRPr="00C44EE6">
              <w:rPr>
                <w:i/>
                <w:iCs/>
                <w:sz w:val="24"/>
                <w:szCs w:val="24"/>
              </w:rPr>
              <w:t>топливо</w:t>
            </w:r>
            <w:r w:rsidRPr="00C44EE6">
              <w:rPr>
                <w:i/>
                <w:iCs/>
                <w:sz w:val="24"/>
                <w:szCs w:val="24"/>
                <w:lang w:val="ky-KG"/>
              </w:rPr>
              <w:t>(</w:t>
            </w:r>
            <w:r w:rsidRPr="00C44EE6">
              <w:rPr>
                <w:i/>
                <w:iCs/>
                <w:sz w:val="24"/>
                <w:szCs w:val="24"/>
              </w:rPr>
              <w:t xml:space="preserve"> </w:t>
            </w:r>
            <w:r w:rsidRPr="00C44EE6">
              <w:rPr>
                <w:i/>
                <w:iCs/>
                <w:sz w:val="24"/>
                <w:szCs w:val="24"/>
                <w:lang w:val="ky-KG"/>
              </w:rPr>
              <w:t>на</w:t>
            </w:r>
            <w:proofErr w:type="gramEnd"/>
            <w:r w:rsidRPr="00C44EE6">
              <w:rPr>
                <w:i/>
                <w:iCs/>
                <w:sz w:val="24"/>
                <w:szCs w:val="24"/>
              </w:rPr>
              <w:t xml:space="preserve"> </w:t>
            </w:r>
            <w:r w:rsidRPr="00C44EE6">
              <w:rPr>
                <w:i/>
                <w:iCs/>
                <w:sz w:val="24"/>
                <w:szCs w:val="24"/>
                <w:lang w:val="ky-KG"/>
              </w:rPr>
              <w:t>0,2 процент) и</w:t>
            </w:r>
            <w:r w:rsidRPr="00C44EE6">
              <w:rPr>
                <w:i/>
                <w:iCs/>
                <w:sz w:val="24"/>
                <w:szCs w:val="24"/>
              </w:rPr>
              <w:t xml:space="preserve"> уголь </w:t>
            </w:r>
            <w:r w:rsidRPr="00C44EE6">
              <w:rPr>
                <w:i/>
                <w:iCs/>
                <w:sz w:val="24"/>
                <w:szCs w:val="24"/>
                <w:lang w:val="ky-KG"/>
              </w:rPr>
              <w:t>(18,6</w:t>
            </w:r>
            <w:r w:rsidRPr="00C44EE6">
              <w:rPr>
                <w:i/>
                <w:iCs/>
                <w:sz w:val="24"/>
                <w:szCs w:val="24"/>
              </w:rPr>
              <w:t xml:space="preserve"> процента</w:t>
            </w:r>
            <w:r w:rsidRPr="00C44EE6">
              <w:rPr>
                <w:i/>
                <w:iCs/>
                <w:sz w:val="24"/>
                <w:szCs w:val="24"/>
                <w:lang w:val="ky-KG"/>
              </w:rPr>
              <w:t>) повысились.</w:t>
            </w:r>
            <w:r w:rsidRPr="00C44EE6">
              <w:rPr>
                <w:i/>
                <w:iCs/>
                <w:sz w:val="24"/>
                <w:szCs w:val="24"/>
              </w:rPr>
              <w:t xml:space="preserve"> </w:t>
            </w:r>
          </w:p>
        </w:tc>
      </w:tr>
      <w:tr w:rsidR="00214E99" w:rsidRPr="00C44EE6" w14:paraId="7A339DE0" w14:textId="77777777" w:rsidTr="00372228">
        <w:tc>
          <w:tcPr>
            <w:tcW w:w="4819" w:type="dxa"/>
          </w:tcPr>
          <w:p w14:paraId="68E04BBC" w14:textId="184672C8" w:rsidR="00214E99" w:rsidRPr="00C44EE6" w:rsidRDefault="00214E99" w:rsidP="00214E99">
            <w:pPr>
              <w:pStyle w:val="24"/>
              <w:ind w:firstLine="720"/>
              <w:jc w:val="both"/>
              <w:rPr>
                <w:sz w:val="24"/>
                <w:szCs w:val="24"/>
                <w:lang w:val="ky-KG"/>
              </w:rPr>
            </w:pPr>
            <w:r w:rsidRPr="00C44EE6">
              <w:rPr>
                <w:sz w:val="24"/>
                <w:szCs w:val="24"/>
                <w:lang w:val="ky-KG"/>
              </w:rPr>
              <w:t>2024-жылы облуста  кызмат көрсөтүүлөрүнүн тарифтери облус боюнча (7,7 пайызга) жогорулаган. Ошол эле учурда аба транспорт кызматтары (100,0 пайызды түздү), билим берүү (32,2 пайызга), турак жайларды күнүмдүк күчтүү жана оңдоо боюнча кызмат көрсөтүүлөр (0,6 пайызга), мейманкана тейлөөсү (22,0 пайызга) кымбаттаган.</w:t>
            </w:r>
          </w:p>
        </w:tc>
        <w:tc>
          <w:tcPr>
            <w:tcW w:w="4678" w:type="dxa"/>
          </w:tcPr>
          <w:p w14:paraId="7FC66C3F" w14:textId="0F834EF9" w:rsidR="00214E99" w:rsidRPr="00C44EE6" w:rsidRDefault="00214E99" w:rsidP="00214E99">
            <w:pPr>
              <w:pStyle w:val="24"/>
              <w:ind w:firstLine="720"/>
              <w:jc w:val="both"/>
              <w:rPr>
                <w:i/>
                <w:iCs/>
                <w:sz w:val="24"/>
                <w:szCs w:val="24"/>
              </w:rPr>
            </w:pPr>
            <w:r w:rsidRPr="00C44EE6">
              <w:rPr>
                <w:i/>
                <w:iCs/>
                <w:sz w:val="24"/>
                <w:szCs w:val="24"/>
              </w:rPr>
              <w:t>Тарифы на услуги в 202</w:t>
            </w:r>
            <w:r w:rsidRPr="00C44EE6">
              <w:rPr>
                <w:i/>
                <w:iCs/>
                <w:sz w:val="24"/>
                <w:szCs w:val="24"/>
                <w:lang w:val="ky-KG"/>
              </w:rPr>
              <w:t>4</w:t>
            </w:r>
            <w:r w:rsidRPr="00C44EE6">
              <w:rPr>
                <w:i/>
                <w:iCs/>
                <w:sz w:val="24"/>
                <w:szCs w:val="24"/>
              </w:rPr>
              <w:t xml:space="preserve"> году по области повысились на </w:t>
            </w:r>
            <w:r w:rsidRPr="00C44EE6">
              <w:rPr>
                <w:i/>
                <w:iCs/>
                <w:sz w:val="24"/>
                <w:szCs w:val="24"/>
                <w:lang w:val="ky-KG"/>
              </w:rPr>
              <w:t>7,7</w:t>
            </w:r>
            <w:r w:rsidRPr="00C44EE6">
              <w:rPr>
                <w:i/>
                <w:iCs/>
                <w:sz w:val="24"/>
                <w:szCs w:val="24"/>
              </w:rPr>
              <w:t xml:space="preserve"> процента. При этом, наиболее подорожали услуги воздушного пассажирского транспорта</w:t>
            </w:r>
            <w:r w:rsidRPr="00C44EE6">
              <w:rPr>
                <w:i/>
                <w:iCs/>
                <w:sz w:val="24"/>
                <w:szCs w:val="24"/>
                <w:lang w:val="ky-KG"/>
              </w:rPr>
              <w:t xml:space="preserve"> составил</w:t>
            </w:r>
            <w:r w:rsidRPr="00C44EE6">
              <w:rPr>
                <w:i/>
                <w:iCs/>
                <w:sz w:val="24"/>
                <w:szCs w:val="24"/>
              </w:rPr>
              <w:t xml:space="preserve"> (</w:t>
            </w:r>
            <w:r w:rsidRPr="00C44EE6">
              <w:rPr>
                <w:i/>
                <w:iCs/>
                <w:sz w:val="24"/>
                <w:szCs w:val="24"/>
                <w:lang w:val="ky-KG"/>
              </w:rPr>
              <w:t>100</w:t>
            </w:r>
            <w:r w:rsidRPr="00C44EE6">
              <w:rPr>
                <w:i/>
                <w:iCs/>
                <w:sz w:val="24"/>
                <w:szCs w:val="24"/>
              </w:rPr>
              <w:t xml:space="preserve"> процента), образования (на </w:t>
            </w:r>
            <w:r w:rsidRPr="00C44EE6">
              <w:rPr>
                <w:i/>
                <w:iCs/>
                <w:sz w:val="24"/>
                <w:szCs w:val="24"/>
                <w:lang w:val="ky-KG"/>
              </w:rPr>
              <w:t>32,2</w:t>
            </w:r>
            <w:r w:rsidRPr="00C44EE6">
              <w:rPr>
                <w:i/>
                <w:iCs/>
                <w:sz w:val="24"/>
                <w:szCs w:val="24"/>
              </w:rPr>
              <w:t xml:space="preserve"> процента), услуги по текущему содержанию и ремонту жилых помещений (на </w:t>
            </w:r>
            <w:r w:rsidRPr="00C44EE6">
              <w:rPr>
                <w:i/>
                <w:iCs/>
                <w:sz w:val="24"/>
                <w:szCs w:val="24"/>
                <w:lang w:val="ky-KG"/>
              </w:rPr>
              <w:t>0,6</w:t>
            </w:r>
            <w:r w:rsidRPr="00C44EE6">
              <w:rPr>
                <w:i/>
                <w:iCs/>
                <w:sz w:val="24"/>
                <w:szCs w:val="24"/>
              </w:rPr>
              <w:t xml:space="preserve"> процента), </w:t>
            </w:r>
            <w:proofErr w:type="spellStart"/>
            <w:r w:rsidRPr="00C44EE6">
              <w:rPr>
                <w:i/>
                <w:iCs/>
                <w:sz w:val="24"/>
                <w:szCs w:val="24"/>
              </w:rPr>
              <w:t>гостини</w:t>
            </w:r>
            <w:proofErr w:type="spellEnd"/>
            <w:r w:rsidRPr="00C44EE6">
              <w:rPr>
                <w:i/>
                <w:iCs/>
                <w:sz w:val="24"/>
                <w:szCs w:val="24"/>
                <w:lang w:val="ky-KG"/>
              </w:rPr>
              <w:t>ч</w:t>
            </w:r>
            <w:proofErr w:type="spellStart"/>
            <w:r w:rsidRPr="00C44EE6">
              <w:rPr>
                <w:i/>
                <w:iCs/>
                <w:sz w:val="24"/>
                <w:szCs w:val="24"/>
              </w:rPr>
              <w:t>ного</w:t>
            </w:r>
            <w:proofErr w:type="spellEnd"/>
            <w:r w:rsidRPr="00C44EE6">
              <w:rPr>
                <w:i/>
                <w:iCs/>
                <w:sz w:val="24"/>
                <w:szCs w:val="24"/>
              </w:rPr>
              <w:t xml:space="preserve"> обслуживания (на </w:t>
            </w:r>
            <w:r w:rsidRPr="00C44EE6">
              <w:rPr>
                <w:i/>
                <w:iCs/>
                <w:sz w:val="24"/>
                <w:szCs w:val="24"/>
                <w:lang w:val="ky-KG"/>
              </w:rPr>
              <w:t>22,0</w:t>
            </w:r>
            <w:r w:rsidRPr="00C44EE6">
              <w:rPr>
                <w:i/>
                <w:iCs/>
                <w:sz w:val="24"/>
                <w:szCs w:val="24"/>
              </w:rPr>
              <w:t xml:space="preserve"> процента).</w:t>
            </w:r>
          </w:p>
        </w:tc>
      </w:tr>
    </w:tbl>
    <w:p w14:paraId="3DF607F1" w14:textId="77777777" w:rsidR="0069514F" w:rsidRPr="00C44EE6" w:rsidRDefault="0069514F" w:rsidP="00723CE2">
      <w:pPr>
        <w:tabs>
          <w:tab w:val="left" w:pos="709"/>
        </w:tabs>
        <w:jc w:val="both"/>
        <w:rPr>
          <w:sz w:val="24"/>
          <w:highlight w:val="yellow"/>
        </w:rPr>
      </w:pPr>
    </w:p>
    <w:tbl>
      <w:tblPr>
        <w:tblW w:w="9497" w:type="dxa"/>
        <w:tblInd w:w="250" w:type="dxa"/>
        <w:tblLook w:val="04A0" w:firstRow="1" w:lastRow="0" w:firstColumn="1" w:lastColumn="0" w:noHBand="0" w:noVBand="1"/>
      </w:tblPr>
      <w:tblGrid>
        <w:gridCol w:w="4853"/>
        <w:gridCol w:w="4644"/>
      </w:tblGrid>
      <w:tr w:rsidR="00C44EE6" w:rsidRPr="00C44EE6" w14:paraId="33E50E84" w14:textId="77777777" w:rsidTr="00372228">
        <w:tc>
          <w:tcPr>
            <w:tcW w:w="4853" w:type="dxa"/>
          </w:tcPr>
          <w:p w14:paraId="2A946DE0" w14:textId="1B979799" w:rsidR="00505A9E" w:rsidRPr="00C44EE6" w:rsidRDefault="00494765" w:rsidP="005E66B9">
            <w:pPr>
              <w:pStyle w:val="a8"/>
              <w:spacing w:after="0"/>
              <w:ind w:left="0" w:firstLine="708"/>
              <w:jc w:val="both"/>
              <w:rPr>
                <w:sz w:val="24"/>
                <w:lang w:val="ky-KG"/>
              </w:rPr>
            </w:pPr>
            <w:r w:rsidRPr="00C44EE6">
              <w:rPr>
                <w:b/>
                <w:sz w:val="24"/>
                <w:lang w:val="ky-KG"/>
              </w:rPr>
              <w:t>Инвестициялык ишмердик.  Финансылык эмес  активдердин инвестициялары.</w:t>
            </w:r>
            <w:r w:rsidRPr="00C44EE6">
              <w:rPr>
                <w:b/>
                <w:sz w:val="24"/>
              </w:rPr>
              <w:t xml:space="preserve"> </w:t>
            </w:r>
            <w:r w:rsidRPr="00C44EE6">
              <w:rPr>
                <w:sz w:val="24"/>
                <w:lang w:val="ky-KG"/>
              </w:rPr>
              <w:t>202</w:t>
            </w:r>
            <w:r w:rsidRPr="00C44EE6">
              <w:rPr>
                <w:sz w:val="24"/>
              </w:rPr>
              <w:t>4</w:t>
            </w:r>
            <w:r w:rsidRPr="00C44EE6">
              <w:rPr>
                <w:sz w:val="24"/>
                <w:lang w:val="ky-KG"/>
              </w:rPr>
              <w:t>-жылы облустун финансылык эмес активдердин инвестициясына 34538,2 млн. сом салым тартылган. Финансылык эмес активдердин инвестициясынын эң көп үлүшү – негизги капиталдын инвестициясынын жалпы көлөмүнүн 97,6 пайызы, негизги фонддордун капиталдык ремонтуна – 1,3 материалдык эмес активдердин инвестициясына – 1,1 пайыз өндүрүлбөгөн матералдык активтердин инвестициялары-0,007 туура келет.</w:t>
            </w:r>
            <w:r w:rsidR="00505A9E" w:rsidRPr="00C44EE6">
              <w:rPr>
                <w:b/>
                <w:sz w:val="24"/>
                <w:lang w:val="ky-KG"/>
              </w:rPr>
              <w:t xml:space="preserve">   </w:t>
            </w:r>
            <w:r w:rsidR="00505A9E" w:rsidRPr="00C44EE6">
              <w:rPr>
                <w:sz w:val="24"/>
                <w:lang w:val="ky-KG"/>
              </w:rPr>
              <w:t>.</w:t>
            </w:r>
          </w:p>
        </w:tc>
        <w:tc>
          <w:tcPr>
            <w:tcW w:w="4644" w:type="dxa"/>
          </w:tcPr>
          <w:p w14:paraId="1B47FDEC" w14:textId="0F4A7DAB" w:rsidR="00505A9E" w:rsidRPr="00C44EE6" w:rsidRDefault="00494765" w:rsidP="005E66B9">
            <w:pPr>
              <w:pStyle w:val="a8"/>
              <w:spacing w:after="0"/>
              <w:ind w:left="0" w:firstLine="708"/>
              <w:jc w:val="both"/>
              <w:rPr>
                <w:i/>
                <w:sz w:val="24"/>
              </w:rPr>
            </w:pPr>
            <w:r w:rsidRPr="00C44EE6">
              <w:rPr>
                <w:b/>
                <w:i/>
                <w:sz w:val="24"/>
              </w:rPr>
              <w:t>Инвестиционная деятельность. Инвестиции в нефинансовые активы.</w:t>
            </w:r>
            <w:r w:rsidRPr="00C44EE6">
              <w:rPr>
                <w:i/>
                <w:sz w:val="24"/>
              </w:rPr>
              <w:t xml:space="preserve"> В экономику области в 20</w:t>
            </w:r>
            <w:r w:rsidRPr="00C44EE6">
              <w:rPr>
                <w:i/>
                <w:sz w:val="24"/>
                <w:lang w:val="ky-KG"/>
              </w:rPr>
              <w:t>2</w:t>
            </w:r>
            <w:r w:rsidRPr="00C44EE6">
              <w:rPr>
                <w:i/>
                <w:sz w:val="24"/>
              </w:rPr>
              <w:t>4 г. вложено инвестиций в нефинансовые активы в сумме 34538,2</w:t>
            </w:r>
            <w:r w:rsidRPr="00C44EE6">
              <w:rPr>
                <w:i/>
                <w:sz w:val="24"/>
                <w:lang w:val="ky-KG"/>
              </w:rPr>
              <w:t xml:space="preserve"> </w:t>
            </w:r>
            <w:r w:rsidRPr="00C44EE6">
              <w:rPr>
                <w:i/>
                <w:sz w:val="24"/>
              </w:rPr>
              <w:t xml:space="preserve">млн. сомов. В структуре инвестиций в нефинансовые активы наибольшая доля приходится на инвестиции в основной капитал – 97,6 процента от общего объема, на капитальный ремонт основных фондов – </w:t>
            </w:r>
            <w:r w:rsidRPr="00C44EE6">
              <w:rPr>
                <w:i/>
                <w:sz w:val="24"/>
                <w:lang w:val="ky-KG"/>
              </w:rPr>
              <w:t>1,3</w:t>
            </w:r>
            <w:r w:rsidRPr="00C44EE6">
              <w:rPr>
                <w:i/>
                <w:sz w:val="24"/>
              </w:rPr>
              <w:t xml:space="preserve"> инвестиции в нематериальные активы –</w:t>
            </w:r>
            <w:r w:rsidRPr="00C44EE6">
              <w:rPr>
                <w:i/>
                <w:sz w:val="24"/>
                <w:lang w:val="ky-KG"/>
              </w:rPr>
              <w:t>1,</w:t>
            </w:r>
            <w:proofErr w:type="gramStart"/>
            <w:r w:rsidRPr="00C44EE6">
              <w:rPr>
                <w:i/>
                <w:sz w:val="24"/>
                <w:lang w:val="ky-KG"/>
              </w:rPr>
              <w:t>1</w:t>
            </w:r>
            <w:r w:rsidRPr="00C44EE6">
              <w:rPr>
                <w:i/>
                <w:sz w:val="24"/>
              </w:rPr>
              <w:t xml:space="preserve"> </w:t>
            </w:r>
            <w:r w:rsidRPr="00C44EE6">
              <w:rPr>
                <w:i/>
                <w:sz w:val="24"/>
                <w:lang w:val="ky-KG"/>
              </w:rPr>
              <w:t xml:space="preserve"> непроизведенные</w:t>
            </w:r>
            <w:proofErr w:type="gramEnd"/>
            <w:r w:rsidRPr="00C44EE6">
              <w:rPr>
                <w:i/>
                <w:sz w:val="24"/>
                <w:lang w:val="ky-KG"/>
              </w:rPr>
              <w:t xml:space="preserve"> матеральные активы -0,007 </w:t>
            </w:r>
            <w:r w:rsidRPr="00C44EE6">
              <w:rPr>
                <w:i/>
                <w:sz w:val="24"/>
              </w:rPr>
              <w:t>процента.</w:t>
            </w:r>
            <w:r w:rsidR="00505A9E" w:rsidRPr="00C44EE6">
              <w:rPr>
                <w:i/>
                <w:sz w:val="24"/>
              </w:rPr>
              <w:t xml:space="preserve"> </w:t>
            </w:r>
          </w:p>
        </w:tc>
      </w:tr>
    </w:tbl>
    <w:p w14:paraId="756AB83D" w14:textId="61A1AD60" w:rsidR="00505A9E" w:rsidRPr="00C44EE6" w:rsidRDefault="00494765" w:rsidP="00505A9E">
      <w:pPr>
        <w:tabs>
          <w:tab w:val="left" w:pos="709"/>
        </w:tabs>
        <w:jc w:val="both"/>
        <w:rPr>
          <w:sz w:val="24"/>
        </w:rPr>
      </w:pPr>
      <w:r w:rsidRPr="00C44EE6">
        <w:rPr>
          <w:noProof/>
        </w:rPr>
        <w:drawing>
          <wp:anchor distT="426720" distB="1047877" distL="1229868" distR="207772" simplePos="0" relativeHeight="251781120" behindDoc="0" locked="0" layoutInCell="1" allowOverlap="1" wp14:anchorId="12853962" wp14:editId="25360071">
            <wp:simplePos x="0" y="0"/>
            <wp:positionH relativeFrom="column">
              <wp:posOffset>336550</wp:posOffset>
            </wp:positionH>
            <wp:positionV relativeFrom="paragraph">
              <wp:posOffset>556260</wp:posOffset>
            </wp:positionV>
            <wp:extent cx="5783580" cy="2495550"/>
            <wp:effectExtent l="0" t="0" r="7620" b="0"/>
            <wp:wrapTopAndBottom/>
            <wp:docPr id="1592530987"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margin">
              <wp14:pctWidth>0</wp14:pctWidth>
            </wp14:sizeRelH>
            <wp14:sizeRelV relativeFrom="margin">
              <wp14:pctHeight>0</wp14:pctHeight>
            </wp14:sizeRelV>
          </wp:anchor>
        </w:drawing>
      </w:r>
    </w:p>
    <w:tbl>
      <w:tblPr>
        <w:tblW w:w="9497" w:type="dxa"/>
        <w:tblInd w:w="250" w:type="dxa"/>
        <w:tblLook w:val="04A0" w:firstRow="1" w:lastRow="0" w:firstColumn="1" w:lastColumn="0" w:noHBand="0" w:noVBand="1"/>
      </w:tblPr>
      <w:tblGrid>
        <w:gridCol w:w="4677"/>
        <w:gridCol w:w="4820"/>
      </w:tblGrid>
      <w:tr w:rsidR="00C44EE6" w:rsidRPr="00C44EE6" w14:paraId="58143FED" w14:textId="77777777" w:rsidTr="005E66B9">
        <w:trPr>
          <w:trHeight w:val="1009"/>
        </w:trPr>
        <w:tc>
          <w:tcPr>
            <w:tcW w:w="4677" w:type="dxa"/>
          </w:tcPr>
          <w:p w14:paraId="1A2AF7A5" w14:textId="399D9667" w:rsidR="00505A9E" w:rsidRPr="00C44EE6" w:rsidRDefault="00505A9E" w:rsidP="005E66B9">
            <w:pPr>
              <w:jc w:val="center"/>
              <w:rPr>
                <w:b/>
                <w:sz w:val="24"/>
                <w:lang w:val="ky-KG"/>
              </w:rPr>
            </w:pPr>
            <w:r w:rsidRPr="00C44EE6">
              <w:rPr>
                <w:b/>
                <w:sz w:val="24"/>
                <w:lang w:val="ky-KG"/>
              </w:rPr>
              <w:t>Финансылык эмес активдердин инвестициясы 202</w:t>
            </w:r>
            <w:r w:rsidR="00494765" w:rsidRPr="00C44EE6">
              <w:rPr>
                <w:b/>
                <w:sz w:val="24"/>
                <w:lang w:val="ky-KG"/>
              </w:rPr>
              <w:t>4</w:t>
            </w:r>
            <w:r w:rsidRPr="00C44EE6">
              <w:rPr>
                <w:b/>
                <w:sz w:val="24"/>
                <w:lang w:val="ky-KG"/>
              </w:rPr>
              <w:t>-ж</w:t>
            </w:r>
            <w:r w:rsidRPr="00C44EE6">
              <w:rPr>
                <w:b/>
                <w:sz w:val="24"/>
              </w:rPr>
              <w:t>.</w:t>
            </w:r>
          </w:p>
          <w:p w14:paraId="7D6B359A" w14:textId="77777777" w:rsidR="00505A9E" w:rsidRPr="00C44EE6" w:rsidRDefault="00505A9E" w:rsidP="005E66B9">
            <w:pPr>
              <w:jc w:val="center"/>
              <w:rPr>
                <w:sz w:val="24"/>
              </w:rPr>
            </w:pPr>
            <w:r w:rsidRPr="00C44EE6">
              <w:rPr>
                <w:sz w:val="24"/>
              </w:rPr>
              <w:t>(</w:t>
            </w:r>
            <w:proofErr w:type="spellStart"/>
            <w:r w:rsidRPr="00C44EE6">
              <w:rPr>
                <w:sz w:val="24"/>
              </w:rPr>
              <w:t>жыйынтыкка</w:t>
            </w:r>
            <w:proofErr w:type="spellEnd"/>
            <w:r w:rsidRPr="00C44EE6">
              <w:rPr>
                <w:sz w:val="24"/>
              </w:rPr>
              <w:t xml:space="preserve"> карата </w:t>
            </w:r>
            <w:proofErr w:type="spellStart"/>
            <w:r w:rsidRPr="00C44EE6">
              <w:rPr>
                <w:sz w:val="24"/>
              </w:rPr>
              <w:t>пайыз</w:t>
            </w:r>
            <w:proofErr w:type="spellEnd"/>
            <w:r w:rsidRPr="00C44EE6">
              <w:rPr>
                <w:sz w:val="24"/>
              </w:rPr>
              <w:t xml:space="preserve"> </w:t>
            </w:r>
            <w:proofErr w:type="spellStart"/>
            <w:r w:rsidRPr="00C44EE6">
              <w:rPr>
                <w:sz w:val="24"/>
              </w:rPr>
              <w:t>менен</w:t>
            </w:r>
            <w:proofErr w:type="spellEnd"/>
            <w:r w:rsidRPr="00C44EE6">
              <w:rPr>
                <w:sz w:val="24"/>
              </w:rPr>
              <w:t>)</w:t>
            </w:r>
          </w:p>
        </w:tc>
        <w:tc>
          <w:tcPr>
            <w:tcW w:w="4820" w:type="dxa"/>
          </w:tcPr>
          <w:p w14:paraId="14F44BC9" w14:textId="2691F64E" w:rsidR="00505A9E" w:rsidRPr="00C44EE6" w:rsidRDefault="00505A9E" w:rsidP="005E66B9">
            <w:pPr>
              <w:jc w:val="center"/>
              <w:rPr>
                <w:b/>
                <w:i/>
                <w:sz w:val="24"/>
                <w:lang w:val="ky-KG"/>
              </w:rPr>
            </w:pPr>
            <w:r w:rsidRPr="00C44EE6">
              <w:rPr>
                <w:b/>
                <w:i/>
                <w:sz w:val="24"/>
              </w:rPr>
              <w:t>Инвестиции в нефинансовые активы в 20</w:t>
            </w:r>
            <w:r w:rsidRPr="00C44EE6">
              <w:rPr>
                <w:b/>
                <w:i/>
                <w:sz w:val="24"/>
                <w:lang w:val="ky-KG"/>
              </w:rPr>
              <w:t>2</w:t>
            </w:r>
            <w:r w:rsidR="00494765" w:rsidRPr="00C44EE6">
              <w:rPr>
                <w:b/>
                <w:i/>
                <w:sz w:val="24"/>
                <w:lang w:val="ky-KG"/>
              </w:rPr>
              <w:t>4</w:t>
            </w:r>
          </w:p>
          <w:p w14:paraId="7B0C14CA" w14:textId="77777777" w:rsidR="00505A9E" w:rsidRPr="00C44EE6" w:rsidRDefault="00505A9E" w:rsidP="005E66B9">
            <w:pPr>
              <w:jc w:val="center"/>
              <w:rPr>
                <w:b/>
                <w:i/>
                <w:sz w:val="24"/>
              </w:rPr>
            </w:pPr>
            <w:r w:rsidRPr="00C44EE6">
              <w:rPr>
                <w:b/>
                <w:i/>
                <w:sz w:val="24"/>
              </w:rPr>
              <w:t xml:space="preserve"> г.</w:t>
            </w:r>
          </w:p>
          <w:p w14:paraId="1986811F" w14:textId="77777777" w:rsidR="00505A9E" w:rsidRPr="00C44EE6" w:rsidRDefault="00505A9E" w:rsidP="005E66B9">
            <w:pPr>
              <w:jc w:val="center"/>
              <w:rPr>
                <w:i/>
                <w:sz w:val="24"/>
              </w:rPr>
            </w:pPr>
            <w:r w:rsidRPr="00C44EE6">
              <w:rPr>
                <w:i/>
                <w:sz w:val="24"/>
              </w:rPr>
              <w:t>(в процентах к итогу)</w:t>
            </w:r>
          </w:p>
        </w:tc>
      </w:tr>
    </w:tbl>
    <w:p w14:paraId="1BE553BF" w14:textId="4C21BF12" w:rsidR="00505A9E" w:rsidRPr="00C44EE6" w:rsidRDefault="00505A9E" w:rsidP="00505A9E">
      <w:pPr>
        <w:tabs>
          <w:tab w:val="left" w:pos="709"/>
        </w:tabs>
        <w:jc w:val="both"/>
        <w:rPr>
          <w:sz w:val="24"/>
        </w:rPr>
      </w:pPr>
      <w:r w:rsidRPr="00C44EE6">
        <w:rPr>
          <w:sz w:val="24"/>
        </w:rPr>
        <w:tab/>
      </w:r>
    </w:p>
    <w:tbl>
      <w:tblPr>
        <w:tblW w:w="9497" w:type="dxa"/>
        <w:tblInd w:w="250" w:type="dxa"/>
        <w:tblLook w:val="04A0" w:firstRow="1" w:lastRow="0" w:firstColumn="1" w:lastColumn="0" w:noHBand="0" w:noVBand="1"/>
      </w:tblPr>
      <w:tblGrid>
        <w:gridCol w:w="4677"/>
        <w:gridCol w:w="4820"/>
      </w:tblGrid>
      <w:tr w:rsidR="00C44EE6" w:rsidRPr="00C44EE6" w14:paraId="7E05A32E" w14:textId="77777777" w:rsidTr="005E66B9">
        <w:tc>
          <w:tcPr>
            <w:tcW w:w="4677" w:type="dxa"/>
          </w:tcPr>
          <w:p w14:paraId="47CA8866" w14:textId="0A5D1383" w:rsidR="00505A9E" w:rsidRPr="00C44EE6" w:rsidRDefault="00494765" w:rsidP="005E66B9">
            <w:pPr>
              <w:ind w:firstLine="708"/>
              <w:jc w:val="both"/>
              <w:rPr>
                <w:i/>
                <w:sz w:val="24"/>
                <w:lang w:val="ky-KG"/>
              </w:rPr>
            </w:pPr>
            <w:r w:rsidRPr="00C44EE6">
              <w:rPr>
                <w:sz w:val="24"/>
                <w:lang w:val="ky-KG"/>
              </w:rPr>
              <w:t>Финансылык эмес активдердин инвестициялары каржылоо булактары боюнча ички жана тышкы болуп бөлүнөт</w:t>
            </w:r>
            <w:r w:rsidRPr="00C44EE6">
              <w:rPr>
                <w:sz w:val="24"/>
              </w:rPr>
              <w:t xml:space="preserve">. </w:t>
            </w:r>
            <w:r w:rsidRPr="00C44EE6">
              <w:rPr>
                <w:sz w:val="24"/>
                <w:lang w:val="ky-KG"/>
              </w:rPr>
              <w:t>Финансылык эмес активдердин инвестицияларынын негизги үлүшүн же 71,8 пайызы ички инвестицияларга туура келет, 2023 - жылга салыштырганда 2,7 пайызга жогорулаган.</w:t>
            </w:r>
          </w:p>
        </w:tc>
        <w:tc>
          <w:tcPr>
            <w:tcW w:w="4820" w:type="dxa"/>
          </w:tcPr>
          <w:p w14:paraId="3FDF8BDE" w14:textId="4069A2F9" w:rsidR="00505A9E" w:rsidRPr="00C44EE6" w:rsidRDefault="00494765" w:rsidP="005E66B9">
            <w:pPr>
              <w:ind w:firstLine="708"/>
              <w:jc w:val="both"/>
              <w:rPr>
                <w:i/>
                <w:sz w:val="24"/>
              </w:rPr>
            </w:pPr>
            <w:r w:rsidRPr="00C44EE6">
              <w:rPr>
                <w:i/>
                <w:sz w:val="24"/>
              </w:rPr>
              <w:t xml:space="preserve">По источникам финансирования инвестиции в нефинансовые активы подразделяются на внутренние и внешние. Основная доля или </w:t>
            </w:r>
            <w:r w:rsidRPr="00C44EE6">
              <w:rPr>
                <w:i/>
                <w:sz w:val="24"/>
                <w:lang w:val="ky-KG"/>
              </w:rPr>
              <w:t>71,8</w:t>
            </w:r>
            <w:r w:rsidRPr="00C44EE6">
              <w:rPr>
                <w:i/>
                <w:sz w:val="24"/>
              </w:rPr>
              <w:t xml:space="preserve"> процента от общего объема инвестиций в нефинансовые активы приходится на </w:t>
            </w:r>
            <w:proofErr w:type="gramStart"/>
            <w:r w:rsidRPr="00C44EE6">
              <w:rPr>
                <w:i/>
                <w:sz w:val="24"/>
              </w:rPr>
              <w:t>в</w:t>
            </w:r>
            <w:r w:rsidRPr="00C44EE6">
              <w:rPr>
                <w:i/>
                <w:sz w:val="24"/>
                <w:lang w:val="ky-KG"/>
              </w:rPr>
              <w:t>нутрен</w:t>
            </w:r>
            <w:proofErr w:type="spellStart"/>
            <w:r w:rsidRPr="00C44EE6">
              <w:rPr>
                <w:i/>
                <w:sz w:val="24"/>
              </w:rPr>
              <w:t>ние</w:t>
            </w:r>
            <w:proofErr w:type="spellEnd"/>
            <w:r w:rsidRPr="00C44EE6">
              <w:rPr>
                <w:i/>
                <w:sz w:val="24"/>
              </w:rPr>
              <w:t xml:space="preserve">  инвестиции</w:t>
            </w:r>
            <w:proofErr w:type="gramEnd"/>
            <w:r w:rsidRPr="00C44EE6">
              <w:rPr>
                <w:i/>
                <w:sz w:val="24"/>
              </w:rPr>
              <w:t>, которые по сравнению с 20</w:t>
            </w:r>
            <w:r w:rsidRPr="00C44EE6">
              <w:rPr>
                <w:i/>
                <w:sz w:val="24"/>
                <w:lang w:val="ky-KG"/>
              </w:rPr>
              <w:t>23</w:t>
            </w:r>
            <w:r w:rsidRPr="00C44EE6">
              <w:rPr>
                <w:i/>
                <w:sz w:val="24"/>
              </w:rPr>
              <w:t xml:space="preserve"> годом </w:t>
            </w:r>
            <w:r w:rsidRPr="00C44EE6">
              <w:rPr>
                <w:i/>
                <w:sz w:val="24"/>
                <w:lang w:val="ky-KG"/>
              </w:rPr>
              <w:t>увеличились</w:t>
            </w:r>
            <w:r w:rsidRPr="00C44EE6">
              <w:rPr>
                <w:i/>
                <w:sz w:val="24"/>
              </w:rPr>
              <w:t xml:space="preserve"> на </w:t>
            </w:r>
            <w:r w:rsidRPr="00C44EE6">
              <w:rPr>
                <w:i/>
                <w:sz w:val="24"/>
                <w:lang w:val="ky-KG"/>
              </w:rPr>
              <w:t>2,7 процента</w:t>
            </w:r>
            <w:r w:rsidRPr="00C44EE6">
              <w:rPr>
                <w:i/>
                <w:sz w:val="24"/>
              </w:rPr>
              <w:t>.</w:t>
            </w:r>
          </w:p>
        </w:tc>
      </w:tr>
      <w:tr w:rsidR="00C44EE6" w:rsidRPr="00C44EE6" w14:paraId="54078631" w14:textId="77777777" w:rsidTr="005E66B9">
        <w:tc>
          <w:tcPr>
            <w:tcW w:w="4677" w:type="dxa"/>
          </w:tcPr>
          <w:p w14:paraId="39520C41" w14:textId="2573D44C" w:rsidR="000405F5" w:rsidRPr="00C44EE6" w:rsidRDefault="000405F5" w:rsidP="000405F5">
            <w:pPr>
              <w:ind w:firstLine="708"/>
              <w:jc w:val="both"/>
              <w:rPr>
                <w:sz w:val="24"/>
              </w:rPr>
            </w:pPr>
            <w:r w:rsidRPr="00C44EE6">
              <w:rPr>
                <w:sz w:val="24"/>
                <w:lang w:val="ky-KG"/>
              </w:rPr>
              <w:t>Баардык тышкы инвестициянын көлөмүнүн  чет өлкөлүк кредит – 47,8 пайызды, тике чет өлкөлүк инвестициялар – 40,9 жана чет өлкөлүк гранттар, гуманитардык жардамдар – 11,3 пайызды түзгөн.</w:t>
            </w:r>
          </w:p>
        </w:tc>
        <w:tc>
          <w:tcPr>
            <w:tcW w:w="4820" w:type="dxa"/>
          </w:tcPr>
          <w:p w14:paraId="1BACECDC" w14:textId="7E9FDAEF" w:rsidR="000405F5" w:rsidRPr="00C44EE6" w:rsidRDefault="000405F5" w:rsidP="000405F5">
            <w:pPr>
              <w:ind w:firstLine="708"/>
              <w:jc w:val="both"/>
              <w:rPr>
                <w:i/>
                <w:sz w:val="24"/>
              </w:rPr>
            </w:pPr>
            <w:r w:rsidRPr="00C44EE6">
              <w:rPr>
                <w:i/>
                <w:sz w:val="24"/>
              </w:rPr>
              <w:t xml:space="preserve">Во внешних инвестициях объем иностранного кредита составил </w:t>
            </w:r>
            <w:r w:rsidRPr="00C44EE6">
              <w:rPr>
                <w:i/>
                <w:sz w:val="24"/>
                <w:lang w:val="ky-KG"/>
              </w:rPr>
              <w:t>47,8</w:t>
            </w:r>
            <w:r w:rsidRPr="00C44EE6">
              <w:rPr>
                <w:i/>
                <w:sz w:val="24"/>
              </w:rPr>
              <w:t xml:space="preserve"> процента, прямые иностранные инвестиции – </w:t>
            </w:r>
            <w:r w:rsidRPr="00C44EE6">
              <w:rPr>
                <w:i/>
                <w:sz w:val="24"/>
                <w:lang w:val="ky-KG"/>
              </w:rPr>
              <w:t>40,9</w:t>
            </w:r>
            <w:r w:rsidRPr="00C44EE6">
              <w:rPr>
                <w:i/>
                <w:sz w:val="24"/>
              </w:rPr>
              <w:t xml:space="preserve"> и иностранные гранты и гуманитарная помощь занимают </w:t>
            </w:r>
            <w:r w:rsidRPr="00C44EE6">
              <w:rPr>
                <w:i/>
                <w:sz w:val="24"/>
                <w:lang w:val="ky-KG"/>
              </w:rPr>
              <w:t xml:space="preserve">11,3 </w:t>
            </w:r>
            <w:r w:rsidRPr="00C44EE6">
              <w:rPr>
                <w:i/>
                <w:sz w:val="24"/>
              </w:rPr>
              <w:t>процента от всех внешних инвестиций.</w:t>
            </w:r>
          </w:p>
        </w:tc>
      </w:tr>
      <w:tr w:rsidR="00C44EE6" w:rsidRPr="00C44EE6" w14:paraId="0FB0B3EF" w14:textId="77777777" w:rsidTr="005E66B9">
        <w:tc>
          <w:tcPr>
            <w:tcW w:w="4677" w:type="dxa"/>
          </w:tcPr>
          <w:p w14:paraId="3FB3F093" w14:textId="1EE37ED4" w:rsidR="000405F5" w:rsidRPr="00C44EE6" w:rsidRDefault="000405F5" w:rsidP="000405F5">
            <w:pPr>
              <w:ind w:firstLine="708"/>
              <w:jc w:val="both"/>
              <w:rPr>
                <w:sz w:val="24"/>
                <w:lang w:val="ky-KG"/>
              </w:rPr>
            </w:pPr>
            <w:r w:rsidRPr="00C44EE6">
              <w:rPr>
                <w:sz w:val="24"/>
                <w:lang w:val="ky-KG"/>
              </w:rPr>
              <w:t xml:space="preserve">Республикалык бюджеттин эсебинен ички инвестициялык   ишмердик структурасында – 27,9 пайызды түзүп, 2023 – жылга караганда 4,8 эсе жогорулаган.  </w:t>
            </w:r>
          </w:p>
        </w:tc>
        <w:tc>
          <w:tcPr>
            <w:tcW w:w="4820" w:type="dxa"/>
          </w:tcPr>
          <w:p w14:paraId="75210B05" w14:textId="527FFBA1" w:rsidR="000405F5" w:rsidRPr="00C44EE6" w:rsidRDefault="000405F5" w:rsidP="000405F5">
            <w:pPr>
              <w:ind w:firstLine="708"/>
              <w:jc w:val="both"/>
              <w:rPr>
                <w:i/>
                <w:sz w:val="24"/>
              </w:rPr>
            </w:pPr>
            <w:r w:rsidRPr="00C44EE6">
              <w:rPr>
                <w:i/>
                <w:sz w:val="24"/>
              </w:rPr>
              <w:t xml:space="preserve">В структуре внутренних </w:t>
            </w:r>
            <w:proofErr w:type="gramStart"/>
            <w:r w:rsidRPr="00C44EE6">
              <w:rPr>
                <w:i/>
                <w:sz w:val="24"/>
              </w:rPr>
              <w:t xml:space="preserve">инвестиций  </w:t>
            </w:r>
            <w:r w:rsidRPr="00C44EE6">
              <w:rPr>
                <w:i/>
                <w:sz w:val="24"/>
                <w:lang w:val="ky-KG"/>
              </w:rPr>
              <w:t>27</w:t>
            </w:r>
            <w:proofErr w:type="gramEnd"/>
            <w:r w:rsidRPr="00C44EE6">
              <w:rPr>
                <w:i/>
                <w:sz w:val="24"/>
                <w:lang w:val="ky-KG"/>
              </w:rPr>
              <w:t>,9</w:t>
            </w:r>
            <w:r w:rsidRPr="00C44EE6">
              <w:rPr>
                <w:i/>
                <w:sz w:val="24"/>
              </w:rPr>
              <w:t xml:space="preserve"> процента приходилось на инвестиционную деятельность за счет республиканского бюджета, которая по сравнению с 20</w:t>
            </w:r>
            <w:r w:rsidRPr="00C44EE6">
              <w:rPr>
                <w:i/>
                <w:sz w:val="24"/>
                <w:lang w:val="ky-KG"/>
              </w:rPr>
              <w:t>23</w:t>
            </w:r>
            <w:r w:rsidRPr="00C44EE6">
              <w:rPr>
                <w:i/>
                <w:sz w:val="24"/>
              </w:rPr>
              <w:t xml:space="preserve"> годом </w:t>
            </w:r>
            <w:r w:rsidRPr="00C44EE6">
              <w:rPr>
                <w:i/>
                <w:sz w:val="24"/>
                <w:lang w:val="ky-KG"/>
              </w:rPr>
              <w:t xml:space="preserve">увеличилось в </w:t>
            </w:r>
            <w:r w:rsidRPr="00C44EE6">
              <w:rPr>
                <w:i/>
                <w:sz w:val="24"/>
              </w:rPr>
              <w:t xml:space="preserve">   </w:t>
            </w:r>
            <w:r w:rsidRPr="00C44EE6">
              <w:rPr>
                <w:i/>
                <w:sz w:val="24"/>
                <w:lang w:val="ky-KG"/>
              </w:rPr>
              <w:t>4,8раза</w:t>
            </w:r>
            <w:r w:rsidRPr="00C44EE6">
              <w:rPr>
                <w:i/>
                <w:sz w:val="24"/>
              </w:rPr>
              <w:t>.</w:t>
            </w:r>
          </w:p>
        </w:tc>
      </w:tr>
      <w:tr w:rsidR="00C44EE6" w:rsidRPr="00C44EE6" w14:paraId="6D23EA94" w14:textId="77777777" w:rsidTr="005E66B9">
        <w:tc>
          <w:tcPr>
            <w:tcW w:w="4677" w:type="dxa"/>
          </w:tcPr>
          <w:p w14:paraId="08F387B5" w14:textId="40B792DC" w:rsidR="000405F5" w:rsidRPr="00C44EE6" w:rsidRDefault="000405F5" w:rsidP="000405F5">
            <w:pPr>
              <w:ind w:firstLine="708"/>
              <w:jc w:val="both"/>
              <w:rPr>
                <w:sz w:val="24"/>
                <w:lang w:val="ky-KG"/>
              </w:rPr>
            </w:pPr>
            <w:r w:rsidRPr="00C44EE6">
              <w:rPr>
                <w:sz w:val="24"/>
                <w:lang w:val="ky-KG"/>
              </w:rPr>
              <w:t>Облуста 20</w:t>
            </w:r>
            <w:r w:rsidRPr="00C44EE6">
              <w:rPr>
                <w:sz w:val="24"/>
              </w:rPr>
              <w:t>2</w:t>
            </w:r>
            <w:r w:rsidRPr="00C44EE6">
              <w:rPr>
                <w:sz w:val="24"/>
                <w:lang w:val="ky-KG"/>
              </w:rPr>
              <w:t>4-жыл ичинде чет өлкөлүк түз инвестициялардын келип түшүүсү 3985,6 млн. сомду түзгөн.</w:t>
            </w:r>
          </w:p>
        </w:tc>
        <w:tc>
          <w:tcPr>
            <w:tcW w:w="4820" w:type="dxa"/>
          </w:tcPr>
          <w:p w14:paraId="01A9E0DB" w14:textId="0D3F13D3" w:rsidR="000405F5" w:rsidRPr="00C44EE6" w:rsidRDefault="000405F5" w:rsidP="000405F5">
            <w:pPr>
              <w:ind w:firstLine="708"/>
              <w:jc w:val="both"/>
              <w:rPr>
                <w:i/>
                <w:sz w:val="24"/>
              </w:rPr>
            </w:pPr>
            <w:r w:rsidRPr="00C44EE6">
              <w:rPr>
                <w:i/>
                <w:sz w:val="24"/>
              </w:rPr>
              <w:t>В 20</w:t>
            </w:r>
            <w:r w:rsidRPr="00C44EE6">
              <w:rPr>
                <w:i/>
                <w:sz w:val="24"/>
                <w:lang w:val="ky-KG"/>
              </w:rPr>
              <w:t>24</w:t>
            </w:r>
            <w:r w:rsidRPr="00C44EE6">
              <w:rPr>
                <w:i/>
                <w:sz w:val="24"/>
              </w:rPr>
              <w:t xml:space="preserve"> году приток прямых иностранных инвестиций по области составляет </w:t>
            </w:r>
            <w:r w:rsidRPr="00C44EE6">
              <w:rPr>
                <w:i/>
                <w:sz w:val="24"/>
                <w:lang w:val="ky-KG"/>
              </w:rPr>
              <w:t>3985,6</w:t>
            </w:r>
            <w:r w:rsidRPr="00C44EE6">
              <w:rPr>
                <w:i/>
                <w:sz w:val="24"/>
              </w:rPr>
              <w:t xml:space="preserve"> </w:t>
            </w:r>
            <w:proofErr w:type="spellStart"/>
            <w:proofErr w:type="gramStart"/>
            <w:r w:rsidRPr="00C44EE6">
              <w:rPr>
                <w:i/>
                <w:sz w:val="24"/>
              </w:rPr>
              <w:t>млн.сом</w:t>
            </w:r>
            <w:proofErr w:type="spellEnd"/>
            <w:r w:rsidRPr="00C44EE6">
              <w:rPr>
                <w:i/>
                <w:sz w:val="24"/>
                <w:lang w:val="ky-KG"/>
              </w:rPr>
              <w:t>ов</w:t>
            </w:r>
            <w:proofErr w:type="gramEnd"/>
            <w:r w:rsidRPr="00C44EE6">
              <w:rPr>
                <w:i/>
                <w:sz w:val="24"/>
              </w:rPr>
              <w:t>.</w:t>
            </w:r>
          </w:p>
        </w:tc>
      </w:tr>
    </w:tbl>
    <w:p w14:paraId="15EB1260" w14:textId="77777777" w:rsidR="00505A9E" w:rsidRPr="00C44EE6" w:rsidRDefault="00505A9E" w:rsidP="00505A9E">
      <w:pPr>
        <w:tabs>
          <w:tab w:val="left" w:pos="709"/>
        </w:tabs>
        <w:jc w:val="both"/>
        <w:rPr>
          <w:sz w:val="24"/>
          <w:highlight w:val="yellow"/>
          <w:lang w:val="ky-KG"/>
        </w:rPr>
      </w:pPr>
      <w:r w:rsidRPr="00C44EE6">
        <w:rPr>
          <w:sz w:val="24"/>
          <w:highlight w:val="yellow"/>
          <w:lang w:val="ky-KG"/>
        </w:rPr>
        <w:t xml:space="preserve">  </w:t>
      </w:r>
    </w:p>
    <w:tbl>
      <w:tblPr>
        <w:tblW w:w="9497" w:type="dxa"/>
        <w:tblInd w:w="250" w:type="dxa"/>
        <w:tblLook w:val="04A0" w:firstRow="1" w:lastRow="0" w:firstColumn="1" w:lastColumn="0" w:noHBand="0" w:noVBand="1"/>
      </w:tblPr>
      <w:tblGrid>
        <w:gridCol w:w="4677"/>
        <w:gridCol w:w="4820"/>
      </w:tblGrid>
      <w:tr w:rsidR="00C44EE6" w:rsidRPr="00C44EE6" w14:paraId="6A42DE83" w14:textId="77777777" w:rsidTr="005E66B9">
        <w:tc>
          <w:tcPr>
            <w:tcW w:w="4677" w:type="dxa"/>
          </w:tcPr>
          <w:p w14:paraId="762CAD63" w14:textId="50EB4B3D" w:rsidR="000405F5" w:rsidRPr="00C44EE6" w:rsidRDefault="000405F5" w:rsidP="000405F5">
            <w:pPr>
              <w:ind w:firstLine="708"/>
              <w:jc w:val="both"/>
              <w:rPr>
                <w:sz w:val="24"/>
                <w:lang w:val="ky-KG"/>
              </w:rPr>
            </w:pPr>
            <w:r w:rsidRPr="00C44EE6">
              <w:rPr>
                <w:sz w:val="24"/>
                <w:lang w:val="ky-KG"/>
              </w:rPr>
              <w:t xml:space="preserve">2024-жылы Жалал-Абад облусу боюнча жалпы 2855 окуучулук орун ишке киргризилген. Алар - Базар-Коргон районунда-210, Аксы районунда-225,  Ноокен районунда-580, Сузак районунда-225, Кара-Көл шаарында-615 жана  Жалал-Абад шаарында -615 окуучулук орун ишке киргизилген. </w:t>
            </w:r>
          </w:p>
        </w:tc>
        <w:tc>
          <w:tcPr>
            <w:tcW w:w="4820" w:type="dxa"/>
          </w:tcPr>
          <w:p w14:paraId="2B0497DE" w14:textId="594E3DCB" w:rsidR="000405F5" w:rsidRPr="00C44EE6" w:rsidRDefault="000405F5" w:rsidP="000405F5">
            <w:pPr>
              <w:ind w:firstLine="708"/>
              <w:jc w:val="both"/>
              <w:rPr>
                <w:b/>
                <w:i/>
                <w:sz w:val="24"/>
                <w:lang w:val="ky-KG"/>
              </w:rPr>
            </w:pPr>
            <w:r w:rsidRPr="00C44EE6">
              <w:rPr>
                <w:bCs/>
                <w:i/>
                <w:sz w:val="24"/>
              </w:rPr>
              <w:t>В 20</w:t>
            </w:r>
            <w:r w:rsidRPr="00C44EE6">
              <w:rPr>
                <w:bCs/>
                <w:i/>
                <w:sz w:val="24"/>
                <w:lang w:val="ky-KG"/>
              </w:rPr>
              <w:t>24</w:t>
            </w:r>
            <w:r w:rsidRPr="00C44EE6">
              <w:rPr>
                <w:bCs/>
                <w:i/>
                <w:sz w:val="24"/>
              </w:rPr>
              <w:t xml:space="preserve"> году </w:t>
            </w:r>
            <w:r w:rsidRPr="00C44EE6">
              <w:rPr>
                <w:bCs/>
                <w:i/>
                <w:sz w:val="24"/>
                <w:lang w:val="ky-KG"/>
              </w:rPr>
              <w:t xml:space="preserve">по Джалал-Абадской области </w:t>
            </w:r>
            <w:r w:rsidRPr="00C44EE6">
              <w:rPr>
                <w:bCs/>
                <w:i/>
                <w:sz w:val="24"/>
              </w:rPr>
              <w:t>введен</w:t>
            </w:r>
            <w:r w:rsidRPr="00C44EE6">
              <w:rPr>
                <w:bCs/>
                <w:i/>
                <w:sz w:val="24"/>
                <w:lang w:val="ky-KG"/>
              </w:rPr>
              <w:t>о</w:t>
            </w:r>
            <w:r w:rsidRPr="00C44EE6">
              <w:rPr>
                <w:bCs/>
                <w:i/>
                <w:sz w:val="24"/>
              </w:rPr>
              <w:t xml:space="preserve"> </w:t>
            </w:r>
            <w:r w:rsidRPr="00C44EE6">
              <w:rPr>
                <w:bCs/>
                <w:i/>
                <w:sz w:val="24"/>
                <w:lang w:val="ky-KG"/>
              </w:rPr>
              <w:t>всего 2855 ученических мест. Из них</w:t>
            </w:r>
            <w:r w:rsidRPr="00C44EE6">
              <w:rPr>
                <w:bCs/>
                <w:i/>
                <w:sz w:val="24"/>
              </w:rPr>
              <w:t xml:space="preserve"> - в Базар-</w:t>
            </w:r>
            <w:proofErr w:type="spellStart"/>
            <w:r w:rsidRPr="00C44EE6">
              <w:rPr>
                <w:bCs/>
                <w:i/>
                <w:sz w:val="24"/>
              </w:rPr>
              <w:t>Коргонск</w:t>
            </w:r>
            <w:proofErr w:type="spellEnd"/>
            <w:r w:rsidRPr="00C44EE6">
              <w:rPr>
                <w:bCs/>
                <w:i/>
                <w:sz w:val="24"/>
                <w:lang w:val="ky-KG"/>
              </w:rPr>
              <w:t>ом</w:t>
            </w:r>
            <w:r w:rsidRPr="00C44EE6">
              <w:rPr>
                <w:bCs/>
                <w:i/>
                <w:sz w:val="24"/>
              </w:rPr>
              <w:t xml:space="preserve"> районе</w:t>
            </w:r>
            <w:r w:rsidRPr="00C44EE6">
              <w:rPr>
                <w:bCs/>
                <w:i/>
                <w:sz w:val="24"/>
                <w:lang w:val="ky-KG"/>
              </w:rPr>
              <w:t>-210,</w:t>
            </w:r>
            <w:r w:rsidRPr="00C44EE6">
              <w:rPr>
                <w:bCs/>
                <w:i/>
                <w:sz w:val="24"/>
              </w:rPr>
              <w:t xml:space="preserve"> в</w:t>
            </w:r>
            <w:r w:rsidRPr="00C44EE6">
              <w:rPr>
                <w:bCs/>
                <w:i/>
                <w:sz w:val="24"/>
                <w:lang w:val="ky-KG"/>
              </w:rPr>
              <w:t xml:space="preserve"> Аксыйском районе-225, в Ноокенском районе-580, в Сузакском районе-225, в городе Кара-Куль-615 и в городе Джалал-Абад -615ученических мест</w:t>
            </w:r>
            <w:r w:rsidRPr="00C44EE6">
              <w:rPr>
                <w:bCs/>
                <w:i/>
                <w:sz w:val="24"/>
              </w:rPr>
              <w:t>.</w:t>
            </w:r>
          </w:p>
        </w:tc>
      </w:tr>
      <w:tr w:rsidR="00C44EE6" w:rsidRPr="00C44EE6" w14:paraId="171BFA0C" w14:textId="77777777" w:rsidTr="005E66B9">
        <w:tc>
          <w:tcPr>
            <w:tcW w:w="4677" w:type="dxa"/>
          </w:tcPr>
          <w:p w14:paraId="225F30A4" w14:textId="77777777" w:rsidR="000405F5" w:rsidRPr="00C44EE6" w:rsidRDefault="000405F5" w:rsidP="000405F5">
            <w:pPr>
              <w:ind w:firstLine="708"/>
              <w:jc w:val="both"/>
              <w:rPr>
                <w:sz w:val="24"/>
                <w:szCs w:val="24"/>
                <w:lang w:val="ky-KG"/>
              </w:rPr>
            </w:pPr>
          </w:p>
        </w:tc>
        <w:tc>
          <w:tcPr>
            <w:tcW w:w="4820" w:type="dxa"/>
          </w:tcPr>
          <w:p w14:paraId="38D9D061" w14:textId="77777777" w:rsidR="000405F5" w:rsidRPr="00C44EE6" w:rsidRDefault="000405F5" w:rsidP="000405F5">
            <w:pPr>
              <w:ind w:firstLine="708"/>
              <w:jc w:val="both"/>
              <w:rPr>
                <w:i/>
                <w:sz w:val="24"/>
                <w:szCs w:val="24"/>
                <w:lang w:val="ky-KG"/>
              </w:rPr>
            </w:pPr>
          </w:p>
        </w:tc>
      </w:tr>
      <w:tr w:rsidR="00C44EE6" w:rsidRPr="00C44EE6" w14:paraId="01423D75" w14:textId="77777777" w:rsidTr="005E66B9">
        <w:tc>
          <w:tcPr>
            <w:tcW w:w="4677" w:type="dxa"/>
          </w:tcPr>
          <w:p w14:paraId="27546BE9" w14:textId="6DA96ED4" w:rsidR="000405F5" w:rsidRPr="00C44EE6" w:rsidRDefault="000405F5" w:rsidP="000405F5">
            <w:pPr>
              <w:ind w:firstLine="708"/>
              <w:jc w:val="both"/>
              <w:rPr>
                <w:bCs/>
                <w:sz w:val="24"/>
                <w:lang w:val="ky-KG"/>
              </w:rPr>
            </w:pPr>
            <w:r w:rsidRPr="00C44EE6">
              <w:rPr>
                <w:bCs/>
                <w:sz w:val="24"/>
                <w:lang w:val="ky-KG"/>
              </w:rPr>
              <w:t>Ушул жылдар аралыгында экономика реформасында инвестициялык ишмердүүлүк тенденциясы туруктуу децентралдаштырылган. Калктын каражатынан, ишкана-уюмдардын өз каражаттарынын жана жергиликүү бюджеттин каражатынын эсебинен инвестициянын салыштырма салмагы көбөйдү. Чет өлкөлүк инвестициялардын капаиталдык салымынын  жалпы көлөмү 2024-жылы 26,7 пайызды түзгөн.</w:t>
            </w:r>
          </w:p>
        </w:tc>
        <w:tc>
          <w:tcPr>
            <w:tcW w:w="4820" w:type="dxa"/>
          </w:tcPr>
          <w:p w14:paraId="29A584FE" w14:textId="77777777" w:rsidR="000405F5" w:rsidRPr="00C44EE6" w:rsidRDefault="000405F5" w:rsidP="000405F5">
            <w:pPr>
              <w:ind w:firstLine="708"/>
              <w:jc w:val="both"/>
              <w:rPr>
                <w:i/>
                <w:sz w:val="24"/>
              </w:rPr>
            </w:pPr>
            <w:r w:rsidRPr="00C44EE6">
              <w:rPr>
                <w:bCs/>
                <w:i/>
                <w:sz w:val="24"/>
              </w:rPr>
              <w:t>3</w:t>
            </w:r>
            <w:r w:rsidRPr="00C44EE6">
              <w:rPr>
                <w:i/>
                <w:sz w:val="24"/>
              </w:rPr>
              <w:t xml:space="preserve">а годы реформирования экономики наметилась устойчивая тенденция децентрализации инвестиционной деятельности. Увеличился удельный вес инвестиций, финансируемых за счет средств населения, собственных средств предприятий, организаций и средств из местного бюджета. Доля иностранных инвестиций в общем объеме капитальных вложений в </w:t>
            </w:r>
            <w:proofErr w:type="gramStart"/>
            <w:r w:rsidRPr="00C44EE6">
              <w:rPr>
                <w:i/>
                <w:sz w:val="24"/>
              </w:rPr>
              <w:t>20</w:t>
            </w:r>
            <w:r w:rsidRPr="00C44EE6">
              <w:rPr>
                <w:i/>
                <w:sz w:val="24"/>
                <w:lang w:val="ky-KG"/>
              </w:rPr>
              <w:t>24</w:t>
            </w:r>
            <w:r w:rsidRPr="00C44EE6">
              <w:rPr>
                <w:i/>
                <w:sz w:val="24"/>
              </w:rPr>
              <w:t xml:space="preserve">  году</w:t>
            </w:r>
            <w:proofErr w:type="gramEnd"/>
            <w:r w:rsidRPr="00C44EE6">
              <w:rPr>
                <w:i/>
                <w:sz w:val="24"/>
              </w:rPr>
              <w:t xml:space="preserve"> составила </w:t>
            </w:r>
            <w:r w:rsidRPr="00C44EE6">
              <w:rPr>
                <w:i/>
                <w:sz w:val="24"/>
                <w:lang w:val="ky-KG"/>
              </w:rPr>
              <w:t>26,</w:t>
            </w:r>
            <w:proofErr w:type="gramStart"/>
            <w:r w:rsidRPr="00C44EE6">
              <w:rPr>
                <w:i/>
                <w:sz w:val="24"/>
                <w:lang w:val="ky-KG"/>
              </w:rPr>
              <w:t xml:space="preserve">7 </w:t>
            </w:r>
            <w:r w:rsidRPr="00C44EE6">
              <w:rPr>
                <w:i/>
                <w:sz w:val="24"/>
              </w:rPr>
              <w:t xml:space="preserve"> процента</w:t>
            </w:r>
            <w:proofErr w:type="gramEnd"/>
            <w:r w:rsidRPr="00C44EE6">
              <w:rPr>
                <w:i/>
                <w:sz w:val="24"/>
              </w:rPr>
              <w:t>.</w:t>
            </w:r>
          </w:p>
          <w:p w14:paraId="4DEBBB7F" w14:textId="77777777" w:rsidR="000405F5" w:rsidRPr="00C44EE6" w:rsidRDefault="000405F5" w:rsidP="000405F5">
            <w:pPr>
              <w:ind w:firstLine="708"/>
              <w:jc w:val="both"/>
              <w:rPr>
                <w:i/>
                <w:sz w:val="24"/>
              </w:rPr>
            </w:pPr>
          </w:p>
          <w:p w14:paraId="6784CBF4" w14:textId="77777777" w:rsidR="000405F5" w:rsidRPr="00C44EE6" w:rsidRDefault="000405F5" w:rsidP="000405F5">
            <w:pPr>
              <w:ind w:firstLine="708"/>
              <w:jc w:val="both"/>
              <w:rPr>
                <w:i/>
                <w:sz w:val="24"/>
              </w:rPr>
            </w:pPr>
          </w:p>
          <w:p w14:paraId="617FDCB0" w14:textId="77777777" w:rsidR="000405F5" w:rsidRPr="00C44EE6" w:rsidRDefault="000405F5" w:rsidP="000405F5">
            <w:pPr>
              <w:ind w:firstLine="708"/>
              <w:jc w:val="both"/>
              <w:rPr>
                <w:bCs/>
                <w:i/>
                <w:sz w:val="24"/>
              </w:rPr>
            </w:pPr>
          </w:p>
        </w:tc>
      </w:tr>
      <w:tr w:rsidR="000405F5" w:rsidRPr="00C44EE6" w14:paraId="24968883" w14:textId="77777777" w:rsidTr="005E66B9">
        <w:tc>
          <w:tcPr>
            <w:tcW w:w="4677" w:type="dxa"/>
          </w:tcPr>
          <w:p w14:paraId="653C6C19" w14:textId="77777777" w:rsidR="000405F5" w:rsidRPr="00C44EE6" w:rsidRDefault="000405F5" w:rsidP="000405F5">
            <w:pPr>
              <w:tabs>
                <w:tab w:val="left" w:pos="4661"/>
              </w:tabs>
              <w:jc w:val="center"/>
              <w:rPr>
                <w:b/>
                <w:sz w:val="24"/>
              </w:rPr>
            </w:pPr>
            <w:r w:rsidRPr="00C44EE6">
              <w:rPr>
                <w:b/>
                <w:sz w:val="24"/>
                <w:lang w:val="ky-KG"/>
              </w:rPr>
              <w:t>Каржылоо булактары боюнча негизги капиталга инвестициялар (капиталдык салымдар)</w:t>
            </w:r>
          </w:p>
          <w:p w14:paraId="5A0BD692" w14:textId="77777777" w:rsidR="000405F5" w:rsidRPr="00C44EE6" w:rsidRDefault="000405F5" w:rsidP="000405F5">
            <w:pPr>
              <w:jc w:val="center"/>
              <w:rPr>
                <w:sz w:val="24"/>
              </w:rPr>
            </w:pPr>
            <w:r w:rsidRPr="00C44EE6">
              <w:rPr>
                <w:sz w:val="24"/>
              </w:rPr>
              <w:t>(</w:t>
            </w:r>
            <w:r w:rsidRPr="00C44EE6">
              <w:rPr>
                <w:sz w:val="24"/>
                <w:lang w:val="ky-KG"/>
              </w:rPr>
              <w:t>жалпы көлөмүнө карата пайыз менен</w:t>
            </w:r>
            <w:r w:rsidRPr="00C44EE6">
              <w:rPr>
                <w:sz w:val="24"/>
              </w:rPr>
              <w:t>).</w:t>
            </w:r>
          </w:p>
        </w:tc>
        <w:tc>
          <w:tcPr>
            <w:tcW w:w="4820" w:type="dxa"/>
          </w:tcPr>
          <w:p w14:paraId="13337C07" w14:textId="77777777" w:rsidR="000405F5" w:rsidRPr="00C44EE6" w:rsidRDefault="000405F5" w:rsidP="000405F5">
            <w:pPr>
              <w:jc w:val="center"/>
              <w:rPr>
                <w:b/>
                <w:i/>
                <w:sz w:val="24"/>
              </w:rPr>
            </w:pPr>
            <w:r w:rsidRPr="00C44EE6">
              <w:rPr>
                <w:b/>
                <w:i/>
                <w:sz w:val="24"/>
              </w:rPr>
              <w:t>Структура инвестиций в основной капитал (капитальные вложения)</w:t>
            </w:r>
          </w:p>
          <w:p w14:paraId="3929DBFB" w14:textId="77777777" w:rsidR="000405F5" w:rsidRPr="00C44EE6" w:rsidRDefault="000405F5" w:rsidP="000405F5">
            <w:pPr>
              <w:tabs>
                <w:tab w:val="left" w:pos="4661"/>
              </w:tabs>
              <w:jc w:val="center"/>
              <w:rPr>
                <w:b/>
                <w:i/>
                <w:sz w:val="24"/>
              </w:rPr>
            </w:pPr>
            <w:r w:rsidRPr="00C44EE6">
              <w:rPr>
                <w:b/>
                <w:i/>
                <w:sz w:val="24"/>
              </w:rPr>
              <w:t xml:space="preserve">по источникам финансирования </w:t>
            </w:r>
          </w:p>
          <w:p w14:paraId="15E8F1F2" w14:textId="77777777" w:rsidR="000405F5" w:rsidRPr="00C44EE6" w:rsidRDefault="000405F5" w:rsidP="000405F5">
            <w:pPr>
              <w:jc w:val="center"/>
              <w:rPr>
                <w:i/>
                <w:sz w:val="24"/>
              </w:rPr>
            </w:pPr>
            <w:r w:rsidRPr="00C44EE6">
              <w:rPr>
                <w:i/>
                <w:sz w:val="24"/>
              </w:rPr>
              <w:t>(в процентах к общему объему).</w:t>
            </w:r>
          </w:p>
        </w:tc>
      </w:tr>
    </w:tbl>
    <w:p w14:paraId="3DFFDAE3" w14:textId="77777777" w:rsidR="00505A9E" w:rsidRPr="00C44EE6" w:rsidRDefault="00505A9E" w:rsidP="00505A9E">
      <w:pPr>
        <w:ind w:firstLine="708"/>
        <w:jc w:val="both"/>
        <w:rPr>
          <w:bCs/>
          <w:sz w:val="24"/>
          <w:lang w:val="ky-KG"/>
        </w:rPr>
      </w:pPr>
    </w:p>
    <w:tbl>
      <w:tblPr>
        <w:tblW w:w="9497" w:type="dxa"/>
        <w:tblInd w:w="250" w:type="dxa"/>
        <w:tblLook w:val="04A0" w:firstRow="1" w:lastRow="0" w:firstColumn="1" w:lastColumn="0" w:noHBand="0" w:noVBand="1"/>
      </w:tblPr>
      <w:tblGrid>
        <w:gridCol w:w="4677"/>
        <w:gridCol w:w="4820"/>
      </w:tblGrid>
      <w:tr w:rsidR="00C44EE6" w:rsidRPr="00C44EE6" w14:paraId="33DE5570" w14:textId="77777777" w:rsidTr="005E66B9">
        <w:tc>
          <w:tcPr>
            <w:tcW w:w="4677" w:type="dxa"/>
          </w:tcPr>
          <w:p w14:paraId="1B7D1361" w14:textId="77777777" w:rsidR="00505A9E" w:rsidRPr="00C44EE6" w:rsidRDefault="00505A9E" w:rsidP="005E66B9">
            <w:pPr>
              <w:jc w:val="center"/>
              <w:rPr>
                <w:sz w:val="24"/>
              </w:rPr>
            </w:pPr>
          </w:p>
          <w:p w14:paraId="285D2CB5" w14:textId="77777777" w:rsidR="00505A9E" w:rsidRPr="00C44EE6" w:rsidRDefault="00505A9E" w:rsidP="005E66B9">
            <w:pPr>
              <w:jc w:val="center"/>
              <w:rPr>
                <w:sz w:val="24"/>
              </w:rPr>
            </w:pPr>
          </w:p>
        </w:tc>
        <w:tc>
          <w:tcPr>
            <w:tcW w:w="4820" w:type="dxa"/>
          </w:tcPr>
          <w:p w14:paraId="1988E5A3" w14:textId="77777777" w:rsidR="00505A9E" w:rsidRPr="00C44EE6" w:rsidRDefault="00505A9E" w:rsidP="005E66B9">
            <w:pPr>
              <w:jc w:val="center"/>
              <w:rPr>
                <w:i/>
                <w:sz w:val="24"/>
              </w:rPr>
            </w:pPr>
          </w:p>
        </w:tc>
      </w:tr>
    </w:tbl>
    <w:p w14:paraId="73807E81" w14:textId="505DEC1D" w:rsidR="00505A9E" w:rsidRPr="00C44EE6" w:rsidRDefault="000405F5" w:rsidP="00505A9E">
      <w:pPr>
        <w:jc w:val="center"/>
        <w:rPr>
          <w:sz w:val="24"/>
        </w:rPr>
      </w:pPr>
      <w:r w:rsidRPr="00C44EE6">
        <w:rPr>
          <w:noProof/>
        </w:rPr>
        <w:drawing>
          <wp:anchor distT="493776" distB="228092" distL="394716" distR="344678" simplePos="0" relativeHeight="251783168" behindDoc="0" locked="0" layoutInCell="1" allowOverlap="1" wp14:anchorId="58B3B53B" wp14:editId="0205D2F5">
            <wp:simplePos x="0" y="0"/>
            <wp:positionH relativeFrom="page">
              <wp:posOffset>723900</wp:posOffset>
            </wp:positionH>
            <wp:positionV relativeFrom="paragraph">
              <wp:posOffset>813435</wp:posOffset>
            </wp:positionV>
            <wp:extent cx="6510655" cy="3794760"/>
            <wp:effectExtent l="0" t="0" r="4445" b="15240"/>
            <wp:wrapTopAndBottom/>
            <wp:docPr id="12"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p>
    <w:tbl>
      <w:tblPr>
        <w:tblW w:w="18851" w:type="dxa"/>
        <w:tblInd w:w="250" w:type="dxa"/>
        <w:tblLook w:val="04A0" w:firstRow="1" w:lastRow="0" w:firstColumn="1" w:lastColumn="0" w:noHBand="0" w:noVBand="1"/>
      </w:tblPr>
      <w:tblGrid>
        <w:gridCol w:w="4677"/>
        <w:gridCol w:w="5279"/>
        <w:gridCol w:w="4075"/>
        <w:gridCol w:w="4820"/>
      </w:tblGrid>
      <w:tr w:rsidR="00C44EE6" w:rsidRPr="00C44EE6" w14:paraId="5DC02785" w14:textId="77777777" w:rsidTr="000405F5">
        <w:tc>
          <w:tcPr>
            <w:tcW w:w="4677" w:type="dxa"/>
          </w:tcPr>
          <w:p w14:paraId="7C502AC8" w14:textId="15E8FE40" w:rsidR="000405F5" w:rsidRPr="00C44EE6" w:rsidRDefault="000405F5" w:rsidP="000405F5">
            <w:pPr>
              <w:ind w:firstLine="708"/>
              <w:jc w:val="both"/>
              <w:rPr>
                <w:sz w:val="24"/>
                <w:lang w:val="ky-KG"/>
              </w:rPr>
            </w:pPr>
            <w:r w:rsidRPr="00C44EE6">
              <w:rPr>
                <w:sz w:val="24"/>
                <w:lang w:val="ky-KG"/>
              </w:rPr>
              <w:t>Облусубузда акыркы беш жыл ичинде 1274,25 чарчы метр турак-жай курулуп, өсүү темпи көтөрүлүүдө. Курулуш ушул жылдары  калктын каражатынын эсебинен жүргүзүлгөн</w:t>
            </w:r>
          </w:p>
        </w:tc>
        <w:tc>
          <w:tcPr>
            <w:tcW w:w="5279" w:type="dxa"/>
          </w:tcPr>
          <w:p w14:paraId="2A863252" w14:textId="59B4A475" w:rsidR="000405F5" w:rsidRPr="00C44EE6" w:rsidRDefault="000405F5" w:rsidP="000405F5">
            <w:pPr>
              <w:ind w:firstLine="708"/>
              <w:jc w:val="both"/>
              <w:rPr>
                <w:sz w:val="24"/>
                <w:lang w:val="ky-KG"/>
              </w:rPr>
            </w:pPr>
            <w:r w:rsidRPr="00C44EE6">
              <w:rPr>
                <w:i/>
                <w:sz w:val="24"/>
              </w:rPr>
              <w:t>В области за последние пять лет увеличились темпы роста жилья. За 201</w:t>
            </w:r>
            <w:r w:rsidRPr="00C44EE6">
              <w:rPr>
                <w:i/>
                <w:sz w:val="24"/>
                <w:lang w:val="ky-KG"/>
              </w:rPr>
              <w:t>9</w:t>
            </w:r>
            <w:r w:rsidRPr="00C44EE6">
              <w:rPr>
                <w:i/>
                <w:sz w:val="24"/>
              </w:rPr>
              <w:t>-20</w:t>
            </w:r>
            <w:r w:rsidRPr="00C44EE6">
              <w:rPr>
                <w:i/>
                <w:sz w:val="24"/>
                <w:lang w:val="ky-KG"/>
              </w:rPr>
              <w:t>24</w:t>
            </w:r>
            <w:r w:rsidRPr="00C44EE6">
              <w:rPr>
                <w:i/>
                <w:sz w:val="24"/>
              </w:rPr>
              <w:t xml:space="preserve"> годы построены </w:t>
            </w:r>
            <w:r w:rsidRPr="00C44EE6">
              <w:rPr>
                <w:i/>
                <w:sz w:val="24"/>
                <w:lang w:val="ky-KG"/>
              </w:rPr>
              <w:t>1274,2</w:t>
            </w:r>
            <w:r w:rsidRPr="00C44EE6">
              <w:rPr>
                <w:i/>
                <w:sz w:val="24"/>
              </w:rPr>
              <w:t xml:space="preserve"> тысяч квадратных метров жилья. Строительства в эти годы осуществлялось за счет средств населения.</w:t>
            </w:r>
          </w:p>
        </w:tc>
        <w:tc>
          <w:tcPr>
            <w:tcW w:w="4075" w:type="dxa"/>
          </w:tcPr>
          <w:p w14:paraId="23820C62" w14:textId="2B713F61" w:rsidR="000405F5" w:rsidRPr="00C44EE6" w:rsidRDefault="000405F5" w:rsidP="000405F5">
            <w:pPr>
              <w:ind w:firstLine="708"/>
              <w:jc w:val="both"/>
              <w:rPr>
                <w:sz w:val="24"/>
                <w:lang w:val="ky-KG"/>
              </w:rPr>
            </w:pPr>
          </w:p>
        </w:tc>
        <w:tc>
          <w:tcPr>
            <w:tcW w:w="4820" w:type="dxa"/>
          </w:tcPr>
          <w:p w14:paraId="4F21C645" w14:textId="77777777" w:rsidR="000405F5" w:rsidRPr="00C44EE6" w:rsidRDefault="000405F5" w:rsidP="000405F5">
            <w:pPr>
              <w:ind w:firstLine="708"/>
              <w:jc w:val="both"/>
              <w:rPr>
                <w:i/>
                <w:sz w:val="24"/>
              </w:rPr>
            </w:pPr>
            <w:r w:rsidRPr="00C44EE6">
              <w:rPr>
                <w:i/>
                <w:sz w:val="24"/>
              </w:rPr>
              <w:t>В области за последние пять лет увеличились темпы роста жилья. За 201</w:t>
            </w:r>
            <w:r w:rsidRPr="00C44EE6">
              <w:rPr>
                <w:i/>
                <w:sz w:val="24"/>
                <w:lang w:val="ky-KG"/>
              </w:rPr>
              <w:t>8</w:t>
            </w:r>
            <w:r w:rsidRPr="00C44EE6">
              <w:rPr>
                <w:i/>
                <w:sz w:val="24"/>
              </w:rPr>
              <w:t>-20</w:t>
            </w:r>
            <w:r w:rsidRPr="00C44EE6">
              <w:rPr>
                <w:i/>
                <w:sz w:val="24"/>
                <w:lang w:val="ky-KG"/>
              </w:rPr>
              <w:t>22</w:t>
            </w:r>
            <w:r w:rsidRPr="00C44EE6">
              <w:rPr>
                <w:i/>
                <w:sz w:val="24"/>
              </w:rPr>
              <w:t xml:space="preserve"> годы построены </w:t>
            </w:r>
            <w:r w:rsidRPr="00C44EE6">
              <w:rPr>
                <w:i/>
                <w:sz w:val="24"/>
                <w:lang w:val="ky-KG"/>
              </w:rPr>
              <w:t>940,9</w:t>
            </w:r>
            <w:r w:rsidRPr="00C44EE6">
              <w:rPr>
                <w:i/>
                <w:sz w:val="24"/>
              </w:rPr>
              <w:t xml:space="preserve"> тысяч квадратных метров жилья. Строительства в эти годы осуществлялось за счет средств населения.</w:t>
            </w:r>
          </w:p>
        </w:tc>
      </w:tr>
    </w:tbl>
    <w:p w14:paraId="2FB90D15" w14:textId="3E37E981" w:rsidR="00505A9E" w:rsidRPr="00C44EE6" w:rsidRDefault="000405F5" w:rsidP="00505A9E">
      <w:pPr>
        <w:ind w:firstLine="708"/>
        <w:jc w:val="both"/>
        <w:rPr>
          <w:sz w:val="24"/>
        </w:rPr>
      </w:pPr>
      <w:r w:rsidRPr="00C44EE6">
        <w:rPr>
          <w:noProof/>
        </w:rPr>
        <w:drawing>
          <wp:anchor distT="182880" distB="281813" distL="321564" distR="760349" simplePos="0" relativeHeight="251785216" behindDoc="0" locked="0" layoutInCell="1" allowOverlap="1" wp14:anchorId="777880E7" wp14:editId="6A9B60A4">
            <wp:simplePos x="0" y="0"/>
            <wp:positionH relativeFrom="column">
              <wp:posOffset>270510</wp:posOffset>
            </wp:positionH>
            <wp:positionV relativeFrom="paragraph">
              <wp:posOffset>455295</wp:posOffset>
            </wp:positionV>
            <wp:extent cx="4762500" cy="1571625"/>
            <wp:effectExtent l="0" t="0" r="0" b="0"/>
            <wp:wrapTopAndBottom/>
            <wp:docPr id="1"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tbl>
      <w:tblPr>
        <w:tblW w:w="9497" w:type="dxa"/>
        <w:tblInd w:w="250" w:type="dxa"/>
        <w:tblLook w:val="04A0" w:firstRow="1" w:lastRow="0" w:firstColumn="1" w:lastColumn="0" w:noHBand="0" w:noVBand="1"/>
      </w:tblPr>
      <w:tblGrid>
        <w:gridCol w:w="4677"/>
        <w:gridCol w:w="4820"/>
      </w:tblGrid>
      <w:tr w:rsidR="00505A9E" w:rsidRPr="00C44EE6" w14:paraId="49C7A761" w14:textId="77777777" w:rsidTr="005E66B9">
        <w:tc>
          <w:tcPr>
            <w:tcW w:w="4677" w:type="dxa"/>
          </w:tcPr>
          <w:p w14:paraId="6937AA74" w14:textId="77777777" w:rsidR="00505A9E" w:rsidRPr="00C44EE6" w:rsidRDefault="00505A9E" w:rsidP="005E66B9">
            <w:pPr>
              <w:ind w:firstLine="34"/>
              <w:jc w:val="center"/>
              <w:rPr>
                <w:b/>
                <w:sz w:val="24"/>
                <w:lang w:val="ky-KG"/>
              </w:rPr>
            </w:pPr>
            <w:r w:rsidRPr="00C44EE6">
              <w:rPr>
                <w:b/>
                <w:sz w:val="24"/>
                <w:lang w:val="ky-KG"/>
              </w:rPr>
              <w:t>Турак үйлөрдү колдонууга киргизүүнүн өзгөрүү динамикасы</w:t>
            </w:r>
          </w:p>
          <w:p w14:paraId="17931D74" w14:textId="77777777" w:rsidR="00505A9E" w:rsidRPr="00C44EE6" w:rsidRDefault="00505A9E" w:rsidP="005E66B9">
            <w:pPr>
              <w:ind w:firstLine="34"/>
              <w:jc w:val="center"/>
              <w:rPr>
                <w:sz w:val="24"/>
              </w:rPr>
            </w:pPr>
            <w:r w:rsidRPr="00C44EE6">
              <w:rPr>
                <w:sz w:val="24"/>
              </w:rPr>
              <w:t xml:space="preserve"> (</w:t>
            </w:r>
            <w:r w:rsidRPr="00C44EE6">
              <w:rPr>
                <w:sz w:val="24"/>
                <w:lang w:val="ky-KG"/>
              </w:rPr>
              <w:t>өткөн жылга карата пайыз менен</w:t>
            </w:r>
            <w:r w:rsidRPr="00C44EE6">
              <w:rPr>
                <w:sz w:val="24"/>
              </w:rPr>
              <w:t>)</w:t>
            </w:r>
          </w:p>
          <w:p w14:paraId="01DDA18B" w14:textId="77777777" w:rsidR="00505A9E" w:rsidRPr="00C44EE6" w:rsidRDefault="00505A9E" w:rsidP="005E66B9">
            <w:pPr>
              <w:pStyle w:val="a8"/>
              <w:spacing w:after="0"/>
              <w:ind w:left="0" w:firstLine="708"/>
              <w:jc w:val="both"/>
              <w:rPr>
                <w:sz w:val="24"/>
              </w:rPr>
            </w:pPr>
          </w:p>
        </w:tc>
        <w:tc>
          <w:tcPr>
            <w:tcW w:w="4820" w:type="dxa"/>
          </w:tcPr>
          <w:p w14:paraId="2E8B0007" w14:textId="77777777" w:rsidR="00505A9E" w:rsidRPr="00C44EE6" w:rsidRDefault="00505A9E" w:rsidP="005E66B9">
            <w:pPr>
              <w:ind w:firstLine="34"/>
              <w:jc w:val="center"/>
              <w:rPr>
                <w:i/>
                <w:sz w:val="24"/>
              </w:rPr>
            </w:pPr>
            <w:r w:rsidRPr="00C44EE6">
              <w:rPr>
                <w:b/>
                <w:i/>
                <w:sz w:val="24"/>
              </w:rPr>
              <w:t>Динамика изменения ввода в действие жилых домов</w:t>
            </w:r>
          </w:p>
          <w:p w14:paraId="258CDEAB" w14:textId="77777777" w:rsidR="00505A9E" w:rsidRPr="00C44EE6" w:rsidRDefault="00505A9E" w:rsidP="005E66B9">
            <w:pPr>
              <w:ind w:firstLine="34"/>
              <w:jc w:val="center"/>
              <w:rPr>
                <w:i/>
                <w:sz w:val="24"/>
              </w:rPr>
            </w:pPr>
            <w:r w:rsidRPr="00C44EE6">
              <w:rPr>
                <w:i/>
                <w:sz w:val="24"/>
              </w:rPr>
              <w:t>(в процентах к предыдущему году)</w:t>
            </w:r>
          </w:p>
          <w:p w14:paraId="28471399" w14:textId="77777777" w:rsidR="00505A9E" w:rsidRPr="00C44EE6" w:rsidRDefault="00505A9E" w:rsidP="005E66B9">
            <w:pPr>
              <w:pStyle w:val="a8"/>
              <w:spacing w:after="0"/>
              <w:ind w:left="0" w:firstLine="708"/>
              <w:jc w:val="both"/>
              <w:rPr>
                <w:i/>
                <w:sz w:val="24"/>
              </w:rPr>
            </w:pPr>
          </w:p>
        </w:tc>
      </w:tr>
    </w:tbl>
    <w:p w14:paraId="0B6D0311" w14:textId="2A8C1B9E" w:rsidR="00505A9E" w:rsidRPr="00C44EE6" w:rsidRDefault="00505A9E" w:rsidP="00505A9E">
      <w:pPr>
        <w:ind w:firstLine="708"/>
        <w:jc w:val="center"/>
        <w:rPr>
          <w:sz w:val="24"/>
          <w:lang w:val="ky-KG"/>
        </w:rPr>
      </w:pPr>
    </w:p>
    <w:tbl>
      <w:tblPr>
        <w:tblW w:w="9497" w:type="dxa"/>
        <w:tblInd w:w="250" w:type="dxa"/>
        <w:tblLook w:val="04A0" w:firstRow="1" w:lastRow="0" w:firstColumn="1" w:lastColumn="0" w:noHBand="0" w:noVBand="1"/>
      </w:tblPr>
      <w:tblGrid>
        <w:gridCol w:w="4677"/>
        <w:gridCol w:w="4820"/>
      </w:tblGrid>
      <w:tr w:rsidR="00C44EE6" w:rsidRPr="00C44EE6" w14:paraId="67F81455" w14:textId="77777777" w:rsidTr="005E66B9">
        <w:tc>
          <w:tcPr>
            <w:tcW w:w="4677" w:type="dxa"/>
          </w:tcPr>
          <w:p w14:paraId="701B59F2" w14:textId="495F2B3E" w:rsidR="00505A9E" w:rsidRPr="00C44EE6" w:rsidRDefault="00B17BF5" w:rsidP="005E66B9">
            <w:pPr>
              <w:ind w:firstLine="708"/>
              <w:jc w:val="both"/>
              <w:rPr>
                <w:sz w:val="24"/>
                <w:lang w:val="ky-KG"/>
              </w:rPr>
            </w:pPr>
            <w:r w:rsidRPr="00C44EE6">
              <w:rPr>
                <w:sz w:val="24"/>
                <w:lang w:val="ky-KG"/>
              </w:rPr>
              <w:t>Беш жыл ичинде социалдык чөйрөнүн курулуш объектилеринин темпи бир кыйла жогорулаган. Алсак, 2019-2024-ж.ж. облус боюнча 15519 окуучулук орун  жалпы билим берүү мектеби, 5054 орун мектепке чейинки мекеме, сменада 1666 адамды тейлеген амбулаториялык-поликлиника мекемелери курулган. Кошумча куруу жана мектептердин курулуш иши  негизинен чет өлкөлүк гранттардын, гуманитардык жардамдын жана Республикалык бюджеттин эсебинен жүргүзүлгөн.</w:t>
            </w:r>
          </w:p>
        </w:tc>
        <w:tc>
          <w:tcPr>
            <w:tcW w:w="4820" w:type="dxa"/>
          </w:tcPr>
          <w:p w14:paraId="645690A6" w14:textId="12D5505E" w:rsidR="00505A9E" w:rsidRPr="00C44EE6" w:rsidRDefault="00B17BF5" w:rsidP="005E66B9">
            <w:pPr>
              <w:ind w:firstLine="708"/>
              <w:jc w:val="both"/>
              <w:rPr>
                <w:i/>
                <w:sz w:val="24"/>
              </w:rPr>
            </w:pPr>
            <w:r w:rsidRPr="00C44EE6">
              <w:rPr>
                <w:i/>
                <w:sz w:val="24"/>
              </w:rPr>
              <w:t>За пять лет значительно увеличились темпы строительства объектов социальной сферы. Так, за период 201</w:t>
            </w:r>
            <w:r w:rsidRPr="00C44EE6">
              <w:rPr>
                <w:i/>
                <w:sz w:val="24"/>
                <w:lang w:val="ky-KG"/>
              </w:rPr>
              <w:t>9</w:t>
            </w:r>
            <w:r w:rsidRPr="00C44EE6">
              <w:rPr>
                <w:i/>
                <w:sz w:val="24"/>
              </w:rPr>
              <w:t>-20</w:t>
            </w:r>
            <w:r w:rsidRPr="00C44EE6">
              <w:rPr>
                <w:i/>
                <w:sz w:val="24"/>
                <w:lang w:val="ky-KG"/>
              </w:rPr>
              <w:t>24</w:t>
            </w:r>
            <w:r w:rsidRPr="00C44EE6">
              <w:rPr>
                <w:i/>
                <w:sz w:val="24"/>
              </w:rPr>
              <w:t xml:space="preserve"> года были построены по области общеобразовательные школы на </w:t>
            </w:r>
            <w:r w:rsidRPr="00C44EE6">
              <w:rPr>
                <w:i/>
                <w:sz w:val="24"/>
                <w:lang w:val="ky-KG"/>
              </w:rPr>
              <w:t>15519</w:t>
            </w:r>
            <w:r w:rsidRPr="00C44EE6">
              <w:rPr>
                <w:i/>
                <w:sz w:val="24"/>
              </w:rPr>
              <w:t xml:space="preserve"> ученических мест, дошкольные учреждения на </w:t>
            </w:r>
            <w:r w:rsidRPr="00C44EE6">
              <w:rPr>
                <w:i/>
                <w:sz w:val="24"/>
                <w:lang w:val="ky-KG"/>
              </w:rPr>
              <w:t>5054</w:t>
            </w:r>
            <w:r w:rsidRPr="00C44EE6">
              <w:rPr>
                <w:i/>
                <w:sz w:val="24"/>
              </w:rPr>
              <w:t xml:space="preserve"> мест, амбулаторно-поликлинические учреждения – на </w:t>
            </w:r>
            <w:r w:rsidRPr="00C44EE6">
              <w:rPr>
                <w:i/>
                <w:sz w:val="24"/>
                <w:lang w:val="ky-KG"/>
              </w:rPr>
              <w:t>1666</w:t>
            </w:r>
            <w:r w:rsidRPr="00C44EE6">
              <w:rPr>
                <w:i/>
                <w:sz w:val="24"/>
              </w:rPr>
              <w:t xml:space="preserve"> посещений человек в смену.  Строительство пристроек и школ велось в основном, за счет иностранных грантов, гуманитарной помощи и Республиканского</w:t>
            </w:r>
            <w:r w:rsidR="00505A9E" w:rsidRPr="00C44EE6">
              <w:rPr>
                <w:i/>
                <w:sz w:val="24"/>
              </w:rPr>
              <w:t>.</w:t>
            </w:r>
          </w:p>
        </w:tc>
      </w:tr>
      <w:tr w:rsidR="00C44EE6" w:rsidRPr="00C44EE6" w14:paraId="7EFBF1E5" w14:textId="77777777" w:rsidTr="005E66B9">
        <w:tc>
          <w:tcPr>
            <w:tcW w:w="4677" w:type="dxa"/>
          </w:tcPr>
          <w:p w14:paraId="3330ED87" w14:textId="6A9000E0" w:rsidR="00505A9E" w:rsidRPr="00C44EE6" w:rsidRDefault="00B17BF5" w:rsidP="005E66B9">
            <w:pPr>
              <w:ind w:firstLine="708"/>
              <w:jc w:val="both"/>
              <w:rPr>
                <w:sz w:val="24"/>
                <w:lang w:val="ky-KG"/>
              </w:rPr>
            </w:pPr>
            <w:r w:rsidRPr="00C44EE6">
              <w:rPr>
                <w:sz w:val="24"/>
                <w:lang w:val="ky-KG"/>
              </w:rPr>
              <w:t>Облустун экономикасында “Кыймылсыз капитал” болуп бүткөрүлбөгөн курулуш иштери эсептелет. Натыйжада,  толугу менен курулуп бүтө элек объекттерди  менчиктештирүү, мамлекеттен ажыратуу иштин токтоп туруусуна алып келди. 2019-2024-жылдары  облуста бүткөрүлбөгөн курулуштун темпи бир кыйла жогорулаган  байкалууда. Ошондой эле, 2019-жылдын аягына карата бүткөрүлбөгөн курулуш иш 65963,5 млн. сомду түзгөн болсо, 2020-жылы 61145,8 млн. сомду,  ал эми 2021-жылы 72696,8 млн. сомду, 2022-жылы 80274,8 сомду, 2023-жылы 87702,8 жана 2024-жылы 69991,1 млн.сомду түздү.</w:t>
            </w:r>
          </w:p>
        </w:tc>
        <w:tc>
          <w:tcPr>
            <w:tcW w:w="4820" w:type="dxa"/>
          </w:tcPr>
          <w:p w14:paraId="7715160D" w14:textId="608DF21A" w:rsidR="00505A9E" w:rsidRPr="00C44EE6" w:rsidRDefault="00B17BF5" w:rsidP="005E66B9">
            <w:pPr>
              <w:ind w:firstLine="708"/>
              <w:jc w:val="both"/>
              <w:rPr>
                <w:i/>
                <w:sz w:val="24"/>
              </w:rPr>
            </w:pPr>
            <w:r w:rsidRPr="00C44EE6">
              <w:rPr>
                <w:i/>
                <w:sz w:val="24"/>
              </w:rPr>
              <w:t>«Мертвым капиталом» в экономике области является незавершенное строительство. В результате разгосударствления и приватизации недостроенные объекты оказываются бросовыми и законсервированными. За 201</w:t>
            </w:r>
            <w:r w:rsidRPr="00C44EE6">
              <w:rPr>
                <w:i/>
                <w:sz w:val="24"/>
                <w:lang w:val="ky-KG"/>
              </w:rPr>
              <w:t>9</w:t>
            </w:r>
            <w:r w:rsidRPr="00C44EE6">
              <w:rPr>
                <w:i/>
                <w:sz w:val="24"/>
              </w:rPr>
              <w:t>-20</w:t>
            </w:r>
            <w:r w:rsidRPr="00C44EE6">
              <w:rPr>
                <w:i/>
                <w:sz w:val="24"/>
                <w:lang w:val="ky-KG"/>
              </w:rPr>
              <w:t>24</w:t>
            </w:r>
            <w:r w:rsidRPr="00C44EE6">
              <w:rPr>
                <w:i/>
                <w:sz w:val="24"/>
              </w:rPr>
              <w:t xml:space="preserve"> г. в области наметилась тенденция у</w:t>
            </w:r>
            <w:r w:rsidRPr="00C44EE6">
              <w:rPr>
                <w:i/>
                <w:sz w:val="24"/>
                <w:lang w:val="ky-KG"/>
              </w:rPr>
              <w:t>величились</w:t>
            </w:r>
            <w:r w:rsidRPr="00C44EE6">
              <w:rPr>
                <w:i/>
                <w:sz w:val="24"/>
              </w:rPr>
              <w:t xml:space="preserve"> незавершенного строительства. Так на конец 201</w:t>
            </w:r>
            <w:r w:rsidRPr="00C44EE6">
              <w:rPr>
                <w:i/>
                <w:sz w:val="24"/>
                <w:lang w:val="ky-KG"/>
              </w:rPr>
              <w:t>9</w:t>
            </w:r>
            <w:r w:rsidRPr="00C44EE6">
              <w:rPr>
                <w:i/>
                <w:sz w:val="24"/>
              </w:rPr>
              <w:t xml:space="preserve"> года незавершенное строительство в области составляло -  65963,5</w:t>
            </w:r>
            <w:r w:rsidRPr="00C44EE6">
              <w:rPr>
                <w:i/>
                <w:sz w:val="24"/>
                <w:lang w:val="ky-KG"/>
              </w:rPr>
              <w:t xml:space="preserve"> </w:t>
            </w:r>
            <w:r w:rsidRPr="00C44EE6">
              <w:rPr>
                <w:i/>
                <w:sz w:val="24"/>
              </w:rPr>
              <w:t>млн. сомов,  а в 20</w:t>
            </w:r>
            <w:r w:rsidRPr="00C44EE6">
              <w:rPr>
                <w:i/>
                <w:sz w:val="24"/>
                <w:lang w:val="ky-KG"/>
              </w:rPr>
              <w:t>20</w:t>
            </w:r>
            <w:r w:rsidRPr="00C44EE6">
              <w:rPr>
                <w:i/>
                <w:sz w:val="24"/>
              </w:rPr>
              <w:t xml:space="preserve"> году незавершенное строительство составило </w:t>
            </w:r>
            <w:r w:rsidRPr="00C44EE6">
              <w:rPr>
                <w:i/>
                <w:sz w:val="24"/>
                <w:lang w:val="ky-KG"/>
              </w:rPr>
              <w:t>61145,8</w:t>
            </w:r>
            <w:r w:rsidRPr="00C44EE6">
              <w:rPr>
                <w:i/>
                <w:sz w:val="24"/>
              </w:rPr>
              <w:t xml:space="preserve"> млн. сомов, в 20</w:t>
            </w:r>
            <w:r w:rsidRPr="00C44EE6">
              <w:rPr>
                <w:i/>
                <w:sz w:val="24"/>
                <w:lang w:val="ky-KG"/>
              </w:rPr>
              <w:t>21</w:t>
            </w:r>
            <w:r w:rsidRPr="00C44EE6">
              <w:rPr>
                <w:i/>
                <w:sz w:val="24"/>
              </w:rPr>
              <w:t xml:space="preserve"> году </w:t>
            </w:r>
            <w:r w:rsidRPr="00C44EE6">
              <w:rPr>
                <w:i/>
                <w:sz w:val="24"/>
                <w:lang w:val="ky-KG"/>
              </w:rPr>
              <w:t xml:space="preserve">72696,8 </w:t>
            </w:r>
            <w:r w:rsidRPr="00C44EE6">
              <w:rPr>
                <w:i/>
                <w:sz w:val="24"/>
              </w:rPr>
              <w:t xml:space="preserve">млн. </w:t>
            </w:r>
            <w:proofErr w:type="spellStart"/>
            <w:r w:rsidRPr="00C44EE6">
              <w:rPr>
                <w:i/>
                <w:sz w:val="24"/>
              </w:rPr>
              <w:t>сомо</w:t>
            </w:r>
            <w:proofErr w:type="spellEnd"/>
            <w:r w:rsidRPr="00C44EE6">
              <w:rPr>
                <w:i/>
                <w:sz w:val="24"/>
                <w:lang w:val="ky-KG"/>
              </w:rPr>
              <w:t>в, 2022году 80274,8</w:t>
            </w:r>
            <w:r w:rsidRPr="00C44EE6">
              <w:rPr>
                <w:i/>
                <w:sz w:val="24"/>
              </w:rPr>
              <w:t xml:space="preserve"> млн. сомов</w:t>
            </w:r>
            <w:r w:rsidRPr="00C44EE6">
              <w:rPr>
                <w:i/>
                <w:sz w:val="24"/>
                <w:lang w:val="ky-KG"/>
              </w:rPr>
              <w:t xml:space="preserve"> и в 2023году 87702,8млн.сомов, 2024 году 69991,1млн. сомов.</w:t>
            </w:r>
            <w:r w:rsidRPr="00C44EE6">
              <w:rPr>
                <w:i/>
                <w:sz w:val="24"/>
              </w:rPr>
              <w:t xml:space="preserve"> </w:t>
            </w:r>
          </w:p>
        </w:tc>
      </w:tr>
      <w:tr w:rsidR="00C44EE6" w:rsidRPr="00C44EE6" w14:paraId="3A84B4E0" w14:textId="77777777" w:rsidTr="005E66B9">
        <w:tc>
          <w:tcPr>
            <w:tcW w:w="4677" w:type="dxa"/>
          </w:tcPr>
          <w:p w14:paraId="10C353D3" w14:textId="77777777" w:rsidR="00B17BF5" w:rsidRPr="00C44EE6" w:rsidRDefault="00B17BF5" w:rsidP="00B17BF5">
            <w:pPr>
              <w:ind w:firstLine="708"/>
              <w:jc w:val="both"/>
              <w:rPr>
                <w:sz w:val="24"/>
                <w:lang w:val="ky-KG"/>
              </w:rPr>
            </w:pPr>
            <w:r w:rsidRPr="00C44EE6">
              <w:rPr>
                <w:sz w:val="24"/>
                <w:lang w:val="ky-KG"/>
              </w:rPr>
              <w:t xml:space="preserve">Менчиктин бардык түрлөрү боюнча беш жыл аралыгында курулуш уюмдары тарабынан  аткарылган подряддык жумуштар 63916,0 млн. сомду түздү. 2024-жылы өздүк күч менен аткарылган подряддык жумуштардын суммасы </w:t>
            </w:r>
          </w:p>
          <w:p w14:paraId="227BE417" w14:textId="030A8E65" w:rsidR="00B17BF5" w:rsidRPr="00C44EE6" w:rsidRDefault="00B17BF5" w:rsidP="00B17BF5">
            <w:pPr>
              <w:ind w:firstLine="708"/>
              <w:jc w:val="both"/>
              <w:rPr>
                <w:sz w:val="24"/>
                <w:lang w:val="ky-KG"/>
              </w:rPr>
            </w:pPr>
            <w:r w:rsidRPr="00C44EE6">
              <w:rPr>
                <w:sz w:val="24"/>
                <w:lang w:val="ky-KG"/>
              </w:rPr>
              <w:t>22 947,9 млн. сомду түзгөн.</w:t>
            </w:r>
          </w:p>
          <w:p w14:paraId="05EA109D" w14:textId="4928D655" w:rsidR="00505A9E" w:rsidRPr="00C44EE6" w:rsidRDefault="00505A9E" w:rsidP="005E66B9">
            <w:pPr>
              <w:jc w:val="both"/>
              <w:rPr>
                <w:sz w:val="24"/>
                <w:lang w:val="ky-KG"/>
              </w:rPr>
            </w:pPr>
          </w:p>
        </w:tc>
        <w:tc>
          <w:tcPr>
            <w:tcW w:w="4820" w:type="dxa"/>
          </w:tcPr>
          <w:p w14:paraId="7F8C0ABB" w14:textId="5F296073" w:rsidR="00505A9E" w:rsidRPr="00C44EE6" w:rsidRDefault="00B17BF5" w:rsidP="005E66B9">
            <w:pPr>
              <w:ind w:firstLine="708"/>
              <w:jc w:val="both"/>
              <w:rPr>
                <w:i/>
                <w:sz w:val="24"/>
              </w:rPr>
            </w:pPr>
            <w:r w:rsidRPr="00C44EE6">
              <w:rPr>
                <w:i/>
                <w:sz w:val="24"/>
              </w:rPr>
              <w:t xml:space="preserve">За пять лет строительными организациями всех форм собственности выполнено подрядных работ собственными силами на сумму </w:t>
            </w:r>
            <w:r w:rsidRPr="00C44EE6">
              <w:rPr>
                <w:i/>
                <w:sz w:val="24"/>
                <w:lang w:val="ky-KG"/>
              </w:rPr>
              <w:t>63916,0</w:t>
            </w:r>
            <w:r w:rsidRPr="00C44EE6">
              <w:rPr>
                <w:i/>
                <w:sz w:val="24"/>
              </w:rPr>
              <w:t xml:space="preserve"> млн. сомов. В 20</w:t>
            </w:r>
            <w:r w:rsidRPr="00C44EE6">
              <w:rPr>
                <w:i/>
                <w:sz w:val="24"/>
                <w:lang w:val="ky-KG"/>
              </w:rPr>
              <w:t>24</w:t>
            </w:r>
            <w:r w:rsidRPr="00C44EE6">
              <w:rPr>
                <w:i/>
                <w:sz w:val="24"/>
              </w:rPr>
              <w:t xml:space="preserve">г. выполнено подрядных работ собственными силами на сумму </w:t>
            </w:r>
            <w:r w:rsidRPr="00C44EE6">
              <w:rPr>
                <w:i/>
                <w:sz w:val="24"/>
                <w:lang w:val="ky-KG"/>
              </w:rPr>
              <w:t>22 947,9</w:t>
            </w:r>
            <w:r w:rsidRPr="00C44EE6">
              <w:rPr>
                <w:i/>
                <w:sz w:val="24"/>
              </w:rPr>
              <w:t xml:space="preserve">млн. </w:t>
            </w:r>
          </w:p>
        </w:tc>
      </w:tr>
    </w:tbl>
    <w:p w14:paraId="523B672E" w14:textId="77777777" w:rsidR="00723CE2" w:rsidRPr="00C44EE6" w:rsidRDefault="00723CE2" w:rsidP="00723CE2">
      <w:pPr>
        <w:ind w:firstLine="708"/>
        <w:jc w:val="both"/>
        <w:rPr>
          <w:sz w:val="24"/>
          <w:lang w:val="ky-KG"/>
        </w:rPr>
      </w:pPr>
      <w:r w:rsidRPr="00C44EE6">
        <w:rPr>
          <w:sz w:val="24"/>
        </w:rPr>
        <w:tab/>
      </w:r>
    </w:p>
    <w:tbl>
      <w:tblPr>
        <w:tblW w:w="9639" w:type="dxa"/>
        <w:tblInd w:w="108" w:type="dxa"/>
        <w:tblLook w:val="04A0" w:firstRow="1" w:lastRow="0" w:firstColumn="1" w:lastColumn="0" w:noHBand="0" w:noVBand="1"/>
      </w:tblPr>
      <w:tblGrid>
        <w:gridCol w:w="142"/>
        <w:gridCol w:w="4677"/>
        <w:gridCol w:w="4820"/>
      </w:tblGrid>
      <w:tr w:rsidR="00C44EE6" w:rsidRPr="00C44EE6" w14:paraId="3F5B8AA0" w14:textId="77777777" w:rsidTr="00FF3C2B">
        <w:trPr>
          <w:gridBefore w:val="1"/>
          <w:wBefore w:w="142" w:type="dxa"/>
        </w:trPr>
        <w:tc>
          <w:tcPr>
            <w:tcW w:w="4677" w:type="dxa"/>
          </w:tcPr>
          <w:p w14:paraId="039E38C8" w14:textId="3D104BD8" w:rsidR="00656550" w:rsidRPr="00C44EE6" w:rsidRDefault="00656550" w:rsidP="00FF3C2B">
            <w:pPr>
              <w:jc w:val="both"/>
              <w:rPr>
                <w:i/>
                <w:sz w:val="24"/>
                <w:lang w:val="ky-KG"/>
              </w:rPr>
            </w:pPr>
            <w:r w:rsidRPr="00C44EE6">
              <w:rPr>
                <w:rFonts w:ascii="Times New Roman UniToktom" w:hAnsi="Times New Roman UniToktom" w:cs="Times New Roman UniToktom"/>
                <w:b/>
                <w:sz w:val="24"/>
                <w:lang w:val="ky-KG"/>
              </w:rPr>
              <w:t xml:space="preserve">     Ишканалардын финансылык ишмердүүлүгү</w:t>
            </w:r>
            <w:r w:rsidRPr="00C44EE6">
              <w:rPr>
                <w:b/>
                <w:sz w:val="24"/>
                <w:lang w:val="ky-KG"/>
              </w:rPr>
              <w:t xml:space="preserve">. </w:t>
            </w:r>
            <w:r w:rsidRPr="00C44EE6">
              <w:rPr>
                <w:sz w:val="24"/>
                <w:lang w:val="ky-KG"/>
              </w:rPr>
              <w:t>202</w:t>
            </w:r>
            <w:r w:rsidR="004615B6" w:rsidRPr="00C44EE6">
              <w:rPr>
                <w:sz w:val="24"/>
                <w:lang w:val="ky-KG"/>
              </w:rPr>
              <w:t>4</w:t>
            </w:r>
            <w:r w:rsidRPr="00C44EE6">
              <w:rPr>
                <w:sz w:val="24"/>
                <w:lang w:val="ky-KG"/>
              </w:rPr>
              <w:t xml:space="preserve">-жылы </w:t>
            </w:r>
            <w:r w:rsidRPr="00C44EE6">
              <w:rPr>
                <w:rFonts w:ascii="Times New Roman UniToktom" w:hAnsi="Times New Roman UniToktom" w:cs="Times New Roman UniToktom"/>
                <w:sz w:val="24"/>
                <w:lang w:val="ky-KG"/>
              </w:rPr>
              <w:t>экономиканын реалдуу секторунан</w:t>
            </w:r>
            <w:r w:rsidRPr="00C44EE6">
              <w:rPr>
                <w:sz w:val="24"/>
                <w:lang w:val="ky-KG"/>
              </w:rPr>
              <w:t xml:space="preserve"> продукцияларды иштерди, товарларды, кызмат көрсөтүүлөрдү өткөрүүдөн түшкөн дүң киреше 20</w:t>
            </w:r>
            <w:r w:rsidR="004615B6" w:rsidRPr="00C44EE6">
              <w:rPr>
                <w:sz w:val="24"/>
                <w:lang w:val="ky-KG"/>
              </w:rPr>
              <w:t>20</w:t>
            </w:r>
            <w:r w:rsidRPr="00C44EE6">
              <w:rPr>
                <w:sz w:val="24"/>
                <w:lang w:val="ky-KG"/>
              </w:rPr>
              <w:t>-жылга салыштырмалуу 2</w:t>
            </w:r>
            <w:r w:rsidR="00A81BE0" w:rsidRPr="00C44EE6">
              <w:rPr>
                <w:sz w:val="24"/>
                <w:lang w:val="ky-KG"/>
              </w:rPr>
              <w:t>,</w:t>
            </w:r>
            <w:r w:rsidR="004615B6" w:rsidRPr="00C44EE6">
              <w:rPr>
                <w:sz w:val="24"/>
                <w:lang w:val="ky-KG"/>
              </w:rPr>
              <w:t>9</w:t>
            </w:r>
            <w:r w:rsidRPr="00C44EE6">
              <w:rPr>
                <w:sz w:val="24"/>
                <w:lang w:val="ky-KG"/>
              </w:rPr>
              <w:t xml:space="preserve">   эсеге көбөйүп,</w:t>
            </w:r>
            <w:r w:rsidR="004615B6" w:rsidRPr="00C44EE6">
              <w:rPr>
                <w:sz w:val="24"/>
                <w:lang w:val="ky-KG"/>
              </w:rPr>
              <w:t xml:space="preserve"> 80 092,8</w:t>
            </w:r>
            <w:r w:rsidRPr="00C44EE6">
              <w:rPr>
                <w:sz w:val="24"/>
                <w:lang w:val="ky-KG"/>
              </w:rPr>
              <w:t xml:space="preserve"> млн. сомду түздү.</w:t>
            </w:r>
          </w:p>
        </w:tc>
        <w:tc>
          <w:tcPr>
            <w:tcW w:w="4820" w:type="dxa"/>
          </w:tcPr>
          <w:p w14:paraId="67F50F5E" w14:textId="79FE10B5" w:rsidR="00656550" w:rsidRPr="00C44EE6" w:rsidRDefault="00656550" w:rsidP="00FF3C2B">
            <w:pPr>
              <w:jc w:val="both"/>
              <w:rPr>
                <w:i/>
                <w:sz w:val="24"/>
              </w:rPr>
            </w:pPr>
            <w:r w:rsidRPr="00C44EE6">
              <w:rPr>
                <w:b/>
                <w:i/>
                <w:sz w:val="24"/>
                <w:lang w:val="ky-KG"/>
              </w:rPr>
              <w:t xml:space="preserve">     Финансовые показатели деятельности предприятий. </w:t>
            </w:r>
            <w:r w:rsidRPr="00C44EE6">
              <w:rPr>
                <w:i/>
                <w:sz w:val="24"/>
                <w:lang w:val="ky-KG"/>
              </w:rPr>
              <w:t>Валовой доход предприятий от реализации продукции, товаров, работ, услуг реального</w:t>
            </w:r>
            <w:r w:rsidRPr="00C44EE6">
              <w:rPr>
                <w:i/>
                <w:sz w:val="24"/>
              </w:rPr>
              <w:t xml:space="preserve"> сектора экономики  в 20</w:t>
            </w:r>
            <w:r w:rsidRPr="00C44EE6">
              <w:rPr>
                <w:i/>
                <w:sz w:val="24"/>
                <w:lang w:val="ky-KG"/>
              </w:rPr>
              <w:t>2</w:t>
            </w:r>
            <w:r w:rsidR="004615B6" w:rsidRPr="00C44EE6">
              <w:rPr>
                <w:i/>
                <w:sz w:val="24"/>
                <w:lang w:val="ky-KG"/>
              </w:rPr>
              <w:t>4</w:t>
            </w:r>
            <w:r w:rsidRPr="00C44EE6">
              <w:rPr>
                <w:i/>
                <w:sz w:val="24"/>
              </w:rPr>
              <w:t xml:space="preserve"> году по сравнению с 20</w:t>
            </w:r>
            <w:r w:rsidR="004615B6" w:rsidRPr="00C44EE6">
              <w:rPr>
                <w:i/>
                <w:sz w:val="24"/>
              </w:rPr>
              <w:t>20</w:t>
            </w:r>
            <w:r w:rsidRPr="00C44EE6">
              <w:rPr>
                <w:i/>
                <w:sz w:val="24"/>
              </w:rPr>
              <w:t xml:space="preserve"> годом увеличился</w:t>
            </w:r>
            <w:r w:rsidRPr="00C44EE6">
              <w:rPr>
                <w:i/>
                <w:sz w:val="24"/>
                <w:lang w:val="ky-KG"/>
              </w:rPr>
              <w:t xml:space="preserve"> в 2,</w:t>
            </w:r>
            <w:r w:rsidR="004615B6" w:rsidRPr="00C44EE6">
              <w:rPr>
                <w:i/>
                <w:sz w:val="24"/>
                <w:lang w:val="ky-KG"/>
              </w:rPr>
              <w:t>9</w:t>
            </w:r>
            <w:r w:rsidRPr="00C44EE6">
              <w:rPr>
                <w:i/>
                <w:sz w:val="24"/>
                <w:lang w:val="ky-KG"/>
              </w:rPr>
              <w:t xml:space="preserve"> раза</w:t>
            </w:r>
            <w:r w:rsidRPr="00C44EE6">
              <w:rPr>
                <w:i/>
                <w:sz w:val="24"/>
              </w:rPr>
              <w:t xml:space="preserve"> и составил </w:t>
            </w:r>
            <w:r w:rsidR="004615B6" w:rsidRPr="00C44EE6">
              <w:rPr>
                <w:i/>
                <w:sz w:val="24"/>
              </w:rPr>
              <w:t>80</w:t>
            </w:r>
            <w:r w:rsidR="004615B6" w:rsidRPr="00C44EE6">
              <w:rPr>
                <w:i/>
                <w:sz w:val="24"/>
                <w:lang w:val="ky-KG"/>
              </w:rPr>
              <w:t xml:space="preserve"> 092,8 </w:t>
            </w:r>
            <w:r w:rsidRPr="00C44EE6">
              <w:rPr>
                <w:i/>
                <w:sz w:val="24"/>
              </w:rPr>
              <w:t xml:space="preserve"> млн. сомов.</w:t>
            </w:r>
          </w:p>
        </w:tc>
      </w:tr>
      <w:tr w:rsidR="00C44EE6" w:rsidRPr="00C44EE6" w14:paraId="41EEA6BC" w14:textId="77777777" w:rsidTr="00FF3C2B">
        <w:trPr>
          <w:gridBefore w:val="1"/>
          <w:wBefore w:w="142" w:type="dxa"/>
        </w:trPr>
        <w:tc>
          <w:tcPr>
            <w:tcW w:w="4677" w:type="dxa"/>
          </w:tcPr>
          <w:p w14:paraId="35E1F12B" w14:textId="4981E8DA" w:rsidR="00656550" w:rsidRPr="00C44EE6" w:rsidRDefault="00E30F8A" w:rsidP="00FF3C2B">
            <w:pPr>
              <w:jc w:val="both"/>
              <w:rPr>
                <w:rFonts w:ascii="Times New Roman UniToktom" w:hAnsi="Times New Roman UniToktom" w:cs="Times New Roman UniToktom"/>
                <w:sz w:val="24"/>
                <w:szCs w:val="24"/>
                <w:lang w:val="ky-KG"/>
              </w:rPr>
            </w:pPr>
            <w:r w:rsidRPr="00C44EE6">
              <w:rPr>
                <w:rFonts w:ascii="Times New Roman UniToktom" w:hAnsi="Times New Roman UniToktom" w:cs="Times New Roman UniToktom"/>
                <w:sz w:val="24"/>
                <w:szCs w:val="24"/>
                <w:lang w:val="ky-KG"/>
              </w:rPr>
              <w:t xml:space="preserve"> </w:t>
            </w:r>
            <w:r w:rsidR="00656550" w:rsidRPr="00C44EE6">
              <w:rPr>
                <w:rFonts w:ascii="Times New Roman UniToktom" w:hAnsi="Times New Roman UniToktom" w:cs="Times New Roman UniToktom"/>
                <w:sz w:val="24"/>
                <w:szCs w:val="24"/>
                <w:lang w:val="ky-KG"/>
              </w:rPr>
              <w:t xml:space="preserve">  Дүң кирешенин өткөн жылдын ушул мезгилине салыштырмалуу көбөйүшү пайдалуу кендерди казууда </w:t>
            </w:r>
            <w:r w:rsidR="004E5AB2" w:rsidRPr="00C44EE6">
              <w:rPr>
                <w:rFonts w:ascii="Times New Roman UniToktom" w:hAnsi="Times New Roman UniToktom" w:cs="Times New Roman UniToktom"/>
                <w:sz w:val="24"/>
                <w:szCs w:val="24"/>
                <w:lang w:val="ky-KG"/>
              </w:rPr>
              <w:t>4 811,5</w:t>
            </w:r>
            <w:r w:rsidR="00656550" w:rsidRPr="00C44EE6">
              <w:rPr>
                <w:rFonts w:ascii="Times New Roman UniToktom" w:hAnsi="Times New Roman UniToktom" w:cs="Times New Roman UniToktom"/>
                <w:sz w:val="24"/>
                <w:szCs w:val="24"/>
                <w:lang w:val="ky-KG"/>
              </w:rPr>
              <w:t xml:space="preserve"> млн. сомго (</w:t>
            </w:r>
            <w:r w:rsidR="000E64A2" w:rsidRPr="00C44EE6">
              <w:rPr>
                <w:rFonts w:ascii="Times New Roman UniToktom" w:hAnsi="Times New Roman UniToktom" w:cs="Times New Roman UniToktom"/>
                <w:sz w:val="24"/>
                <w:szCs w:val="24"/>
                <w:lang w:val="ky-KG"/>
              </w:rPr>
              <w:t xml:space="preserve">11,1 </w:t>
            </w:r>
            <w:r w:rsidR="00656550" w:rsidRPr="00C44EE6">
              <w:rPr>
                <w:rFonts w:ascii="Times New Roman UniToktom" w:hAnsi="Times New Roman UniToktom" w:cs="Times New Roman UniToktom"/>
                <w:sz w:val="24"/>
                <w:szCs w:val="24"/>
                <w:lang w:val="ky-KG"/>
              </w:rPr>
              <w:t>%), курулуш тармагында</w:t>
            </w:r>
            <w:r w:rsidR="004E5AB2" w:rsidRPr="00C44EE6">
              <w:rPr>
                <w:rFonts w:ascii="Times New Roman UniToktom" w:hAnsi="Times New Roman UniToktom" w:cs="Times New Roman UniToktom"/>
                <w:sz w:val="24"/>
                <w:szCs w:val="24"/>
                <w:lang w:val="ky-KG"/>
              </w:rPr>
              <w:t xml:space="preserve"> 9 046,9</w:t>
            </w:r>
            <w:r w:rsidR="00656550" w:rsidRPr="00C44EE6">
              <w:rPr>
                <w:rFonts w:ascii="Times New Roman UniToktom" w:hAnsi="Times New Roman UniToktom" w:cs="Times New Roman UniToktom"/>
                <w:sz w:val="24"/>
                <w:szCs w:val="24"/>
                <w:lang w:val="ky-KG"/>
              </w:rPr>
              <w:t xml:space="preserve"> млн. сомго (2</w:t>
            </w:r>
            <w:r w:rsidR="000E64A2" w:rsidRPr="00C44EE6">
              <w:rPr>
                <w:rFonts w:ascii="Times New Roman UniToktom" w:hAnsi="Times New Roman UniToktom" w:cs="Times New Roman UniToktom"/>
                <w:sz w:val="24"/>
                <w:szCs w:val="24"/>
                <w:lang w:val="ky-KG"/>
              </w:rPr>
              <w:t>,7</w:t>
            </w:r>
            <w:r w:rsidR="00656550" w:rsidRPr="00C44EE6">
              <w:rPr>
                <w:rFonts w:ascii="Times New Roman UniToktom" w:hAnsi="Times New Roman UniToktom" w:cs="Times New Roman UniToktom"/>
                <w:sz w:val="24"/>
                <w:szCs w:val="24"/>
                <w:lang w:val="ky-KG"/>
              </w:rPr>
              <w:t xml:space="preserve"> эсе), дүң жана чекене соода, автоунааларды жана мотоциклдерди оңдоодо </w:t>
            </w:r>
            <w:r w:rsidR="004E5AB2" w:rsidRPr="00C44EE6">
              <w:rPr>
                <w:rFonts w:ascii="Times New Roman UniToktom" w:hAnsi="Times New Roman UniToktom" w:cs="Times New Roman UniToktom"/>
                <w:sz w:val="24"/>
                <w:szCs w:val="24"/>
                <w:lang w:val="ky-KG"/>
              </w:rPr>
              <w:t>327,0</w:t>
            </w:r>
            <w:r w:rsidR="00656550" w:rsidRPr="00C44EE6">
              <w:rPr>
                <w:rFonts w:ascii="Times New Roman UniToktom" w:hAnsi="Times New Roman UniToktom" w:cs="Times New Roman UniToktom"/>
                <w:sz w:val="24"/>
                <w:szCs w:val="24"/>
                <w:lang w:val="ky-KG"/>
              </w:rPr>
              <w:t xml:space="preserve"> млн. сомго (</w:t>
            </w:r>
            <w:r w:rsidR="000E64A2" w:rsidRPr="00C44EE6">
              <w:rPr>
                <w:rFonts w:ascii="Times New Roman UniToktom" w:hAnsi="Times New Roman UniToktom" w:cs="Times New Roman UniToktom"/>
                <w:sz w:val="24"/>
                <w:szCs w:val="24"/>
                <w:lang w:val="ky-KG"/>
              </w:rPr>
              <w:t>26,0 %</w:t>
            </w:r>
            <w:r w:rsidR="00656550" w:rsidRPr="00C44EE6">
              <w:rPr>
                <w:rFonts w:ascii="Times New Roman UniToktom" w:hAnsi="Times New Roman UniToktom" w:cs="Times New Roman UniToktom"/>
                <w:sz w:val="24"/>
                <w:szCs w:val="24"/>
                <w:lang w:val="ky-KG"/>
              </w:rPr>
              <w:t>) көбөйгөн.</w:t>
            </w:r>
          </w:p>
          <w:p w14:paraId="37EDDEAE" w14:textId="77777777" w:rsidR="00656550" w:rsidRPr="00C44EE6" w:rsidRDefault="00656550" w:rsidP="00FF3C2B">
            <w:pPr>
              <w:jc w:val="both"/>
              <w:rPr>
                <w:rFonts w:ascii="Times New Roman UniToktom" w:hAnsi="Times New Roman UniToktom" w:cs="Times New Roman UniToktom"/>
                <w:b/>
                <w:sz w:val="24"/>
                <w:szCs w:val="24"/>
                <w:highlight w:val="yellow"/>
                <w:lang w:val="ky-KG"/>
              </w:rPr>
            </w:pPr>
          </w:p>
        </w:tc>
        <w:tc>
          <w:tcPr>
            <w:tcW w:w="4820" w:type="dxa"/>
          </w:tcPr>
          <w:p w14:paraId="3B848DCE" w14:textId="05E6587A" w:rsidR="00656550" w:rsidRPr="00C44EE6" w:rsidRDefault="00656550" w:rsidP="00FF3C2B">
            <w:pPr>
              <w:pStyle w:val="30"/>
              <w:ind w:firstLine="0"/>
              <w:rPr>
                <w:rFonts w:ascii="Times New Roman" w:hAnsi="Times New Roman"/>
                <w:i/>
                <w:szCs w:val="24"/>
                <w:lang w:val="ky-KG"/>
              </w:rPr>
            </w:pPr>
            <w:r w:rsidRPr="00C44EE6">
              <w:rPr>
                <w:rFonts w:ascii="Times New Roman" w:hAnsi="Times New Roman"/>
                <w:i/>
                <w:szCs w:val="24"/>
                <w:lang w:val="ky-KG"/>
              </w:rPr>
              <w:t xml:space="preserve">     </w:t>
            </w:r>
            <w:r w:rsidRPr="00C44EE6">
              <w:rPr>
                <w:rFonts w:ascii="Times New Roman" w:hAnsi="Times New Roman"/>
                <w:i/>
                <w:szCs w:val="24"/>
              </w:rPr>
              <w:t>У</w:t>
            </w:r>
            <w:r w:rsidRPr="00C44EE6">
              <w:rPr>
                <w:rFonts w:ascii="Times New Roman" w:hAnsi="Times New Roman"/>
                <w:i/>
                <w:szCs w:val="24"/>
                <w:lang w:val="ky-KG"/>
              </w:rPr>
              <w:t>величение</w:t>
            </w:r>
            <w:r w:rsidRPr="00C44EE6">
              <w:rPr>
                <w:rFonts w:ascii="Times New Roman" w:hAnsi="Times New Roman"/>
                <w:i/>
                <w:szCs w:val="24"/>
              </w:rPr>
              <w:t xml:space="preserve"> валового дохода по сравнению с 202</w:t>
            </w:r>
            <w:r w:rsidR="00095071" w:rsidRPr="00C44EE6">
              <w:rPr>
                <w:rFonts w:ascii="Times New Roman" w:hAnsi="Times New Roman"/>
                <w:i/>
                <w:szCs w:val="24"/>
              </w:rPr>
              <w:t>4</w:t>
            </w:r>
            <w:r w:rsidRPr="00C44EE6">
              <w:rPr>
                <w:rFonts w:ascii="Times New Roman" w:hAnsi="Times New Roman"/>
                <w:i/>
                <w:szCs w:val="24"/>
              </w:rPr>
              <w:t xml:space="preserve"> годом отмечено на предприятиях</w:t>
            </w:r>
            <w:r w:rsidRPr="00C44EE6">
              <w:rPr>
                <w:rFonts w:ascii="Times New Roman" w:hAnsi="Times New Roman"/>
                <w:i/>
                <w:szCs w:val="24"/>
                <w:lang w:val="ky-KG"/>
              </w:rPr>
              <w:t xml:space="preserve"> по добыче полезных ископаемых на </w:t>
            </w:r>
            <w:r w:rsidR="004E5AB2" w:rsidRPr="00C44EE6">
              <w:rPr>
                <w:rFonts w:ascii="Times New Roman" w:hAnsi="Times New Roman"/>
                <w:i/>
                <w:szCs w:val="24"/>
                <w:lang w:val="ky-KG"/>
              </w:rPr>
              <w:t>4 811,5</w:t>
            </w:r>
            <w:r w:rsidRPr="00C44EE6">
              <w:rPr>
                <w:rFonts w:ascii="Times New Roman" w:hAnsi="Times New Roman"/>
                <w:i/>
                <w:szCs w:val="24"/>
                <w:lang w:val="ky-KG"/>
              </w:rPr>
              <w:t xml:space="preserve"> млн. сомов (или на </w:t>
            </w:r>
            <w:r w:rsidR="000E64A2" w:rsidRPr="00C44EE6">
              <w:rPr>
                <w:rFonts w:ascii="Times New Roman" w:hAnsi="Times New Roman"/>
                <w:i/>
                <w:szCs w:val="24"/>
                <w:lang w:val="ky-KG"/>
              </w:rPr>
              <w:t xml:space="preserve">11,1 </w:t>
            </w:r>
            <w:r w:rsidRPr="00C44EE6">
              <w:rPr>
                <w:rFonts w:ascii="Times New Roman" w:hAnsi="Times New Roman"/>
                <w:i/>
                <w:szCs w:val="24"/>
                <w:lang w:val="ky-KG"/>
              </w:rPr>
              <w:t xml:space="preserve">%), строительства – на </w:t>
            </w:r>
            <w:r w:rsidR="004E5AB2" w:rsidRPr="00C44EE6">
              <w:rPr>
                <w:rFonts w:ascii="Times New Roman" w:hAnsi="Times New Roman"/>
                <w:i/>
                <w:szCs w:val="24"/>
                <w:lang w:val="ky-KG"/>
              </w:rPr>
              <w:t>9 046,9</w:t>
            </w:r>
            <w:r w:rsidRPr="00C44EE6">
              <w:rPr>
                <w:rFonts w:ascii="Times New Roman" w:hAnsi="Times New Roman"/>
                <w:i/>
                <w:szCs w:val="24"/>
                <w:lang w:val="ky-KG"/>
              </w:rPr>
              <w:t xml:space="preserve"> млн. сомов </w:t>
            </w:r>
            <w:r w:rsidRPr="00C44EE6">
              <w:rPr>
                <w:rFonts w:ascii="Times New Roman" w:hAnsi="Times New Roman"/>
                <w:i/>
                <w:szCs w:val="24"/>
              </w:rPr>
              <w:t>(</w:t>
            </w:r>
            <w:r w:rsidRPr="00C44EE6">
              <w:rPr>
                <w:rFonts w:ascii="Times New Roman" w:hAnsi="Times New Roman"/>
                <w:i/>
                <w:szCs w:val="24"/>
                <w:lang w:val="ky-KG"/>
              </w:rPr>
              <w:t>или в 2</w:t>
            </w:r>
            <w:r w:rsidR="000E64A2" w:rsidRPr="00C44EE6">
              <w:rPr>
                <w:rFonts w:ascii="Times New Roman" w:hAnsi="Times New Roman"/>
                <w:i/>
                <w:szCs w:val="24"/>
                <w:lang w:val="ky-KG"/>
              </w:rPr>
              <w:t>,7</w:t>
            </w:r>
            <w:r w:rsidRPr="00C44EE6">
              <w:rPr>
                <w:rFonts w:ascii="Times New Roman" w:hAnsi="Times New Roman"/>
                <w:i/>
                <w:szCs w:val="24"/>
                <w:lang w:val="ky-KG"/>
              </w:rPr>
              <w:t xml:space="preserve"> раза</w:t>
            </w:r>
            <w:r w:rsidRPr="00C44EE6">
              <w:rPr>
                <w:rFonts w:ascii="Times New Roman" w:hAnsi="Times New Roman"/>
                <w:i/>
                <w:szCs w:val="24"/>
              </w:rPr>
              <w:t>)</w:t>
            </w:r>
            <w:r w:rsidRPr="00C44EE6">
              <w:rPr>
                <w:rFonts w:ascii="Times New Roman" w:hAnsi="Times New Roman"/>
                <w:i/>
                <w:szCs w:val="24"/>
                <w:lang w:val="ky-KG"/>
              </w:rPr>
              <w:t xml:space="preserve">, оптовая и розничная торговля, ремонт автомобилей и мотоциклов на </w:t>
            </w:r>
            <w:r w:rsidR="004E5AB2" w:rsidRPr="00C44EE6">
              <w:rPr>
                <w:rFonts w:ascii="Times New Roman" w:hAnsi="Times New Roman"/>
                <w:i/>
                <w:szCs w:val="24"/>
                <w:lang w:val="ky-KG"/>
              </w:rPr>
              <w:t>327,0</w:t>
            </w:r>
            <w:r w:rsidRPr="00C44EE6">
              <w:rPr>
                <w:rFonts w:ascii="Times New Roman" w:hAnsi="Times New Roman"/>
                <w:i/>
                <w:szCs w:val="24"/>
                <w:lang w:val="ky-KG"/>
              </w:rPr>
              <w:t xml:space="preserve"> млн. сомов (или на </w:t>
            </w:r>
            <w:r w:rsidR="000E64A2" w:rsidRPr="00C44EE6">
              <w:rPr>
                <w:rFonts w:ascii="Times New Roman" w:hAnsi="Times New Roman"/>
                <w:i/>
                <w:szCs w:val="24"/>
                <w:lang w:val="ky-KG"/>
              </w:rPr>
              <w:t xml:space="preserve">26,0 </w:t>
            </w:r>
            <w:r w:rsidRPr="00C44EE6">
              <w:rPr>
                <w:rFonts w:ascii="Times New Roman" w:hAnsi="Times New Roman"/>
                <w:i/>
                <w:szCs w:val="24"/>
                <w:lang w:val="ky-KG"/>
              </w:rPr>
              <w:t>%) больше.</w:t>
            </w:r>
          </w:p>
          <w:p w14:paraId="6740F472" w14:textId="77777777" w:rsidR="00656550" w:rsidRPr="00C44EE6" w:rsidRDefault="00656550" w:rsidP="00FF3C2B">
            <w:pPr>
              <w:pStyle w:val="30"/>
              <w:rPr>
                <w:rFonts w:ascii="Times New Roman" w:hAnsi="Times New Roman"/>
                <w:b/>
                <w:bCs/>
                <w:i/>
                <w:szCs w:val="24"/>
              </w:rPr>
            </w:pPr>
            <w:r w:rsidRPr="00C44EE6">
              <w:rPr>
                <w:rFonts w:ascii="Times New Roman" w:hAnsi="Times New Roman"/>
                <w:i/>
                <w:szCs w:val="24"/>
              </w:rPr>
              <w:t xml:space="preserve"> </w:t>
            </w:r>
          </w:p>
        </w:tc>
      </w:tr>
      <w:tr w:rsidR="00C44EE6" w:rsidRPr="00C44EE6" w14:paraId="46F558AA" w14:textId="77777777" w:rsidTr="00FF3C2B">
        <w:trPr>
          <w:gridBefore w:val="1"/>
          <w:wBefore w:w="142" w:type="dxa"/>
        </w:trPr>
        <w:tc>
          <w:tcPr>
            <w:tcW w:w="4677" w:type="dxa"/>
          </w:tcPr>
          <w:p w14:paraId="7B7F54A8" w14:textId="4CB92B63" w:rsidR="00656550" w:rsidRPr="00C44EE6" w:rsidRDefault="00656550" w:rsidP="00FF3C2B">
            <w:pPr>
              <w:jc w:val="both"/>
              <w:rPr>
                <w:b/>
                <w:sz w:val="24"/>
                <w:lang w:val="ky-KG"/>
              </w:rPr>
            </w:pPr>
            <w:r w:rsidRPr="00C44EE6">
              <w:rPr>
                <w:sz w:val="24"/>
                <w:lang w:val="ky-KG"/>
              </w:rPr>
              <w:t xml:space="preserve">     202</w:t>
            </w:r>
            <w:r w:rsidR="000A64EE" w:rsidRPr="00C44EE6">
              <w:rPr>
                <w:sz w:val="24"/>
                <w:lang w:val="ky-KG"/>
              </w:rPr>
              <w:t>4</w:t>
            </w:r>
            <w:r w:rsidRPr="00C44EE6">
              <w:rPr>
                <w:sz w:val="24"/>
                <w:lang w:val="ky-KG"/>
              </w:rPr>
              <w:t>-жылы аймактар боюнча өндүрүү көлөмүнүн өсүшү 20</w:t>
            </w:r>
            <w:r w:rsidR="000A64EE" w:rsidRPr="00C44EE6">
              <w:rPr>
                <w:sz w:val="24"/>
                <w:lang w:val="ky-KG"/>
              </w:rPr>
              <w:t>20</w:t>
            </w:r>
            <w:r w:rsidRPr="00C44EE6">
              <w:rPr>
                <w:sz w:val="24"/>
                <w:lang w:val="ky-KG"/>
              </w:rPr>
              <w:t xml:space="preserve">-жылга  </w:t>
            </w:r>
            <w:r w:rsidRPr="00C44EE6">
              <w:rPr>
                <w:rFonts w:ascii="Times New Roman UniToktom" w:hAnsi="Times New Roman UniToktom" w:cs="Times New Roman UniToktom"/>
                <w:sz w:val="24"/>
                <w:szCs w:val="24"/>
                <w:lang w:val="ky-KG"/>
              </w:rPr>
              <w:t xml:space="preserve">салыштырмалуу Тогуз-Торо районунда </w:t>
            </w:r>
            <w:r w:rsidR="00B46E58" w:rsidRPr="00C44EE6">
              <w:rPr>
                <w:rFonts w:ascii="Times New Roman UniToktom" w:hAnsi="Times New Roman UniToktom" w:cs="Times New Roman UniToktom"/>
                <w:sz w:val="24"/>
                <w:szCs w:val="24"/>
                <w:lang w:val="ky-KG"/>
              </w:rPr>
              <w:t>3,5</w:t>
            </w:r>
            <w:r w:rsidRPr="00C44EE6">
              <w:rPr>
                <w:rFonts w:ascii="Times New Roman UniToktom" w:hAnsi="Times New Roman UniToktom" w:cs="Times New Roman UniToktom"/>
                <w:sz w:val="24"/>
                <w:szCs w:val="24"/>
                <w:lang w:val="ky-KG"/>
              </w:rPr>
              <w:t xml:space="preserve"> эсе,</w:t>
            </w:r>
            <w:r w:rsidRPr="00C44EE6">
              <w:rPr>
                <w:sz w:val="24"/>
                <w:lang w:val="ky-KG"/>
              </w:rPr>
              <w:t xml:space="preserve"> Аксы районунда 5</w:t>
            </w:r>
            <w:r w:rsidR="00B46E58" w:rsidRPr="00C44EE6">
              <w:rPr>
                <w:sz w:val="24"/>
                <w:lang w:val="ky-KG"/>
              </w:rPr>
              <w:t>,2</w:t>
            </w:r>
            <w:r w:rsidRPr="00C44EE6">
              <w:rPr>
                <w:sz w:val="24"/>
                <w:lang w:val="ky-KG"/>
              </w:rPr>
              <w:t xml:space="preserve"> эсеге, Чаткал районунда </w:t>
            </w:r>
            <w:r w:rsidR="00B46E58" w:rsidRPr="00C44EE6">
              <w:rPr>
                <w:sz w:val="24"/>
                <w:lang w:val="ky-KG"/>
              </w:rPr>
              <w:t>3,6</w:t>
            </w:r>
            <w:r w:rsidRPr="00C44EE6">
              <w:rPr>
                <w:sz w:val="24"/>
                <w:lang w:val="ky-KG"/>
              </w:rPr>
              <w:t xml:space="preserve"> эсе, Таш-Көмүр шаарында </w:t>
            </w:r>
            <w:r w:rsidR="00A81BE0" w:rsidRPr="00C44EE6">
              <w:rPr>
                <w:sz w:val="24"/>
                <w:lang w:val="ky-KG"/>
              </w:rPr>
              <w:t>3</w:t>
            </w:r>
            <w:r w:rsidR="00B46E58" w:rsidRPr="00C44EE6">
              <w:rPr>
                <w:sz w:val="24"/>
                <w:lang w:val="ky-KG"/>
              </w:rPr>
              <w:t>,4</w:t>
            </w:r>
            <w:r w:rsidRPr="00C44EE6">
              <w:rPr>
                <w:sz w:val="24"/>
                <w:lang w:val="ky-KG"/>
              </w:rPr>
              <w:t xml:space="preserve"> эсеге,  Кара-Көл шаарында  </w:t>
            </w:r>
            <w:r w:rsidR="00B46E58" w:rsidRPr="00C44EE6">
              <w:rPr>
                <w:sz w:val="24"/>
                <w:lang w:val="ky-KG"/>
              </w:rPr>
              <w:t>5,9</w:t>
            </w:r>
            <w:r w:rsidRPr="00C44EE6">
              <w:rPr>
                <w:sz w:val="24"/>
                <w:lang w:val="ky-KG"/>
              </w:rPr>
              <w:t xml:space="preserve"> эсеге, Жалал-Абад шаарында </w:t>
            </w:r>
            <w:r w:rsidR="00B46E58" w:rsidRPr="00C44EE6">
              <w:rPr>
                <w:sz w:val="24"/>
                <w:lang w:val="ky-KG"/>
              </w:rPr>
              <w:t>4,</w:t>
            </w:r>
            <w:r w:rsidRPr="00C44EE6">
              <w:rPr>
                <w:sz w:val="24"/>
                <w:lang w:val="ky-KG"/>
              </w:rPr>
              <w:t>2 эсеге, Базар-Коргон району</w:t>
            </w:r>
            <w:r w:rsidR="00B46E58" w:rsidRPr="00C44EE6">
              <w:rPr>
                <w:sz w:val="24"/>
                <w:lang w:val="ky-KG"/>
              </w:rPr>
              <w:t xml:space="preserve"> </w:t>
            </w:r>
            <w:r w:rsidR="00277CA6" w:rsidRPr="00C44EE6">
              <w:rPr>
                <w:sz w:val="24"/>
                <w:lang w:val="ky-KG"/>
              </w:rPr>
              <w:t>48 пайызга</w:t>
            </w:r>
            <w:r w:rsidRPr="00C44EE6">
              <w:rPr>
                <w:sz w:val="24"/>
                <w:lang w:val="ky-KG"/>
              </w:rPr>
              <w:t xml:space="preserve"> , ал эми  Сузак районунда 4</w:t>
            </w:r>
            <w:r w:rsidR="00B46E58" w:rsidRPr="00C44EE6">
              <w:rPr>
                <w:sz w:val="24"/>
                <w:lang w:val="ky-KG"/>
              </w:rPr>
              <w:t>,5 эсеге</w:t>
            </w:r>
            <w:r w:rsidRPr="00C44EE6">
              <w:rPr>
                <w:sz w:val="24"/>
                <w:lang w:val="ky-KG"/>
              </w:rPr>
              <w:t>, Ала-Бука районунда – 8</w:t>
            </w:r>
            <w:r w:rsidR="00277CA6" w:rsidRPr="00C44EE6">
              <w:rPr>
                <w:sz w:val="24"/>
                <w:lang w:val="ky-KG"/>
              </w:rPr>
              <w:t>5</w:t>
            </w:r>
            <w:r w:rsidRPr="00C44EE6">
              <w:rPr>
                <w:sz w:val="24"/>
                <w:lang w:val="ky-KG"/>
              </w:rPr>
              <w:t>,</w:t>
            </w:r>
            <w:r w:rsidR="00277CA6" w:rsidRPr="00C44EE6">
              <w:rPr>
                <w:sz w:val="24"/>
                <w:lang w:val="ky-KG"/>
              </w:rPr>
              <w:t>9</w:t>
            </w:r>
            <w:r w:rsidRPr="00C44EE6">
              <w:rPr>
                <w:sz w:val="24"/>
                <w:lang w:val="ky-KG"/>
              </w:rPr>
              <w:t xml:space="preserve"> пайызга, Ноокен районунда – </w:t>
            </w:r>
            <w:r w:rsidR="00277CA6" w:rsidRPr="00C44EE6">
              <w:rPr>
                <w:sz w:val="24"/>
                <w:lang w:val="ky-KG"/>
              </w:rPr>
              <w:t>2,6</w:t>
            </w:r>
            <w:r w:rsidRPr="00C44EE6">
              <w:rPr>
                <w:sz w:val="24"/>
                <w:lang w:val="ky-KG"/>
              </w:rPr>
              <w:t xml:space="preserve">  </w:t>
            </w:r>
            <w:r w:rsidR="00277CA6" w:rsidRPr="00C44EE6">
              <w:rPr>
                <w:sz w:val="24"/>
                <w:lang w:val="ky-KG"/>
              </w:rPr>
              <w:t>эсе</w:t>
            </w:r>
            <w:r w:rsidRPr="00C44EE6">
              <w:rPr>
                <w:sz w:val="24"/>
                <w:lang w:val="ky-KG"/>
              </w:rPr>
              <w:t xml:space="preserve"> көбөйгөн.</w:t>
            </w:r>
          </w:p>
        </w:tc>
        <w:tc>
          <w:tcPr>
            <w:tcW w:w="4820" w:type="dxa"/>
          </w:tcPr>
          <w:p w14:paraId="5EDFB37B" w14:textId="044D1721" w:rsidR="00656550" w:rsidRPr="00C44EE6" w:rsidRDefault="00656550" w:rsidP="00FF3C2B">
            <w:pPr>
              <w:jc w:val="both"/>
              <w:rPr>
                <w:b/>
                <w:i/>
                <w:sz w:val="24"/>
              </w:rPr>
            </w:pPr>
            <w:r w:rsidRPr="00C44EE6">
              <w:rPr>
                <w:i/>
                <w:sz w:val="24"/>
                <w:lang w:val="ky-KG"/>
              </w:rPr>
              <w:t xml:space="preserve">      </w:t>
            </w:r>
            <w:r w:rsidRPr="00C44EE6">
              <w:rPr>
                <w:i/>
                <w:sz w:val="24"/>
              </w:rPr>
              <w:t>В территориальном разрезе наибольший объем доходов в 20</w:t>
            </w:r>
            <w:r w:rsidRPr="00C44EE6">
              <w:rPr>
                <w:i/>
                <w:sz w:val="24"/>
                <w:lang w:val="ky-KG"/>
              </w:rPr>
              <w:t>2</w:t>
            </w:r>
            <w:r w:rsidR="00277CA6" w:rsidRPr="00C44EE6">
              <w:rPr>
                <w:i/>
                <w:sz w:val="24"/>
                <w:lang w:val="ky-KG"/>
              </w:rPr>
              <w:t>4</w:t>
            </w:r>
            <w:r w:rsidRPr="00C44EE6">
              <w:rPr>
                <w:i/>
                <w:sz w:val="24"/>
              </w:rPr>
              <w:t xml:space="preserve"> году по сравнению с 20</w:t>
            </w:r>
            <w:r w:rsidR="00277CA6" w:rsidRPr="00C44EE6">
              <w:rPr>
                <w:i/>
                <w:sz w:val="24"/>
              </w:rPr>
              <w:t>20</w:t>
            </w:r>
            <w:r w:rsidRPr="00C44EE6">
              <w:rPr>
                <w:i/>
                <w:sz w:val="24"/>
              </w:rPr>
              <w:t xml:space="preserve"> годом отмечался в </w:t>
            </w:r>
            <w:r w:rsidRPr="00C44EE6">
              <w:rPr>
                <w:i/>
                <w:sz w:val="24"/>
                <w:lang w:val="ky-KG"/>
              </w:rPr>
              <w:t xml:space="preserve">Тогуз-Тороуском районе – в </w:t>
            </w:r>
            <w:r w:rsidR="00277CA6" w:rsidRPr="00C44EE6">
              <w:rPr>
                <w:i/>
                <w:sz w:val="24"/>
                <w:lang w:val="ky-KG"/>
              </w:rPr>
              <w:t>3,5</w:t>
            </w:r>
            <w:r w:rsidRPr="00C44EE6">
              <w:rPr>
                <w:i/>
                <w:sz w:val="24"/>
                <w:lang w:val="ky-KG"/>
              </w:rPr>
              <w:t xml:space="preserve"> раза, Аксыйском районе – 5</w:t>
            </w:r>
            <w:r w:rsidR="00277CA6" w:rsidRPr="00C44EE6">
              <w:rPr>
                <w:i/>
                <w:sz w:val="24"/>
                <w:lang w:val="ky-KG"/>
              </w:rPr>
              <w:t>,2</w:t>
            </w:r>
            <w:r w:rsidRPr="00C44EE6">
              <w:rPr>
                <w:i/>
                <w:sz w:val="24"/>
                <w:lang w:val="ky-KG"/>
              </w:rPr>
              <w:t xml:space="preserve"> раза,  Чаткальском</w:t>
            </w:r>
            <w:r w:rsidRPr="00C44EE6">
              <w:rPr>
                <w:i/>
                <w:sz w:val="24"/>
              </w:rPr>
              <w:t xml:space="preserve"> район</w:t>
            </w:r>
            <w:r w:rsidRPr="00C44EE6">
              <w:rPr>
                <w:i/>
                <w:sz w:val="24"/>
                <w:lang w:val="ky-KG"/>
              </w:rPr>
              <w:t>е</w:t>
            </w:r>
            <w:r w:rsidRPr="00C44EE6">
              <w:rPr>
                <w:i/>
                <w:sz w:val="24"/>
              </w:rPr>
              <w:t xml:space="preserve"> – в </w:t>
            </w:r>
            <w:r w:rsidR="00277CA6" w:rsidRPr="00C44EE6">
              <w:rPr>
                <w:i/>
                <w:sz w:val="24"/>
              </w:rPr>
              <w:t>3,6</w:t>
            </w:r>
            <w:r w:rsidRPr="00C44EE6">
              <w:rPr>
                <w:i/>
                <w:sz w:val="24"/>
              </w:rPr>
              <w:t xml:space="preserve"> раза</w:t>
            </w:r>
            <w:r w:rsidRPr="00C44EE6">
              <w:rPr>
                <w:i/>
                <w:sz w:val="24"/>
                <w:lang w:val="ky-KG"/>
              </w:rPr>
              <w:t xml:space="preserve">, в городе Таш-Кумыр – в </w:t>
            </w:r>
            <w:r w:rsidR="00277CA6" w:rsidRPr="00C44EE6">
              <w:rPr>
                <w:i/>
                <w:sz w:val="24"/>
                <w:lang w:val="ky-KG"/>
              </w:rPr>
              <w:t>3,4</w:t>
            </w:r>
            <w:r w:rsidRPr="00C44EE6">
              <w:rPr>
                <w:i/>
                <w:sz w:val="24"/>
                <w:lang w:val="ky-KG"/>
              </w:rPr>
              <w:t xml:space="preserve"> раза, городе Кара-Куль -  в </w:t>
            </w:r>
            <w:r w:rsidR="00277CA6" w:rsidRPr="00C44EE6">
              <w:rPr>
                <w:i/>
                <w:sz w:val="24"/>
                <w:lang w:val="ky-KG"/>
              </w:rPr>
              <w:t>5,9</w:t>
            </w:r>
            <w:r w:rsidRPr="00C44EE6">
              <w:rPr>
                <w:i/>
                <w:sz w:val="24"/>
                <w:lang w:val="ky-KG"/>
              </w:rPr>
              <w:t xml:space="preserve"> раза, городе Джалал-Абад - в </w:t>
            </w:r>
            <w:r w:rsidR="00277CA6" w:rsidRPr="00C44EE6">
              <w:rPr>
                <w:i/>
                <w:sz w:val="24"/>
                <w:lang w:val="ky-KG"/>
              </w:rPr>
              <w:t>4,2</w:t>
            </w:r>
            <w:r w:rsidRPr="00C44EE6">
              <w:rPr>
                <w:i/>
                <w:sz w:val="24"/>
                <w:lang w:val="ky-KG"/>
              </w:rPr>
              <w:t xml:space="preserve"> раза, Базар-Коргонском районе – </w:t>
            </w:r>
            <w:r w:rsidR="00277CA6" w:rsidRPr="00C44EE6">
              <w:rPr>
                <w:i/>
                <w:sz w:val="24"/>
                <w:lang w:val="ky-KG"/>
              </w:rPr>
              <w:t>48 процента</w:t>
            </w:r>
            <w:r w:rsidRPr="00C44EE6">
              <w:rPr>
                <w:i/>
                <w:sz w:val="24"/>
                <w:lang w:val="ky-KG"/>
              </w:rPr>
              <w:t>,  в Сузакском районе – 4</w:t>
            </w:r>
            <w:r w:rsidR="00277CA6" w:rsidRPr="00C44EE6">
              <w:rPr>
                <w:i/>
                <w:sz w:val="24"/>
                <w:lang w:val="ky-KG"/>
              </w:rPr>
              <w:t>,5</w:t>
            </w:r>
            <w:r w:rsidRPr="00C44EE6">
              <w:rPr>
                <w:i/>
                <w:sz w:val="24"/>
                <w:lang w:val="ky-KG"/>
              </w:rPr>
              <w:t xml:space="preserve"> </w:t>
            </w:r>
            <w:r w:rsidR="00277CA6" w:rsidRPr="00C44EE6">
              <w:rPr>
                <w:i/>
                <w:sz w:val="24"/>
                <w:lang w:val="ky-KG"/>
              </w:rPr>
              <w:t>раз</w:t>
            </w:r>
            <w:r w:rsidRPr="00C44EE6">
              <w:rPr>
                <w:i/>
                <w:sz w:val="24"/>
                <w:lang w:val="ky-KG"/>
              </w:rPr>
              <w:t>а,  Ноокен</w:t>
            </w:r>
            <w:proofErr w:type="spellStart"/>
            <w:r w:rsidRPr="00C44EE6">
              <w:rPr>
                <w:i/>
                <w:sz w:val="24"/>
              </w:rPr>
              <w:t>ском</w:t>
            </w:r>
            <w:proofErr w:type="spellEnd"/>
            <w:r w:rsidRPr="00C44EE6">
              <w:rPr>
                <w:i/>
                <w:sz w:val="24"/>
                <w:lang w:val="ky-KG"/>
              </w:rPr>
              <w:t xml:space="preserve"> районе</w:t>
            </w:r>
            <w:r w:rsidRPr="00C44EE6">
              <w:rPr>
                <w:i/>
                <w:sz w:val="24"/>
              </w:rPr>
              <w:t xml:space="preserve"> – </w:t>
            </w:r>
            <w:r w:rsidR="00277CA6" w:rsidRPr="00C44EE6">
              <w:rPr>
                <w:i/>
                <w:sz w:val="24"/>
              </w:rPr>
              <w:t>2,6 раз</w:t>
            </w:r>
            <w:r w:rsidRPr="00C44EE6">
              <w:rPr>
                <w:i/>
                <w:sz w:val="24"/>
                <w:lang w:val="ky-KG"/>
              </w:rPr>
              <w:t>а и Ала-Букинском</w:t>
            </w:r>
            <w:r w:rsidRPr="00C44EE6">
              <w:rPr>
                <w:i/>
                <w:sz w:val="24"/>
              </w:rPr>
              <w:t xml:space="preserve"> район</w:t>
            </w:r>
            <w:r w:rsidRPr="00C44EE6">
              <w:rPr>
                <w:i/>
                <w:sz w:val="24"/>
                <w:lang w:val="ky-KG"/>
              </w:rPr>
              <w:t>е</w:t>
            </w:r>
            <w:r w:rsidRPr="00C44EE6">
              <w:rPr>
                <w:i/>
                <w:sz w:val="24"/>
              </w:rPr>
              <w:t xml:space="preserve"> – на </w:t>
            </w:r>
            <w:r w:rsidRPr="00C44EE6">
              <w:rPr>
                <w:i/>
                <w:sz w:val="24"/>
                <w:lang w:val="ky-KG"/>
              </w:rPr>
              <w:t>8</w:t>
            </w:r>
            <w:r w:rsidR="00277CA6" w:rsidRPr="00C44EE6">
              <w:rPr>
                <w:i/>
                <w:sz w:val="24"/>
                <w:lang w:val="ky-KG"/>
              </w:rPr>
              <w:t>5</w:t>
            </w:r>
            <w:r w:rsidRPr="00C44EE6">
              <w:rPr>
                <w:i/>
                <w:sz w:val="24"/>
                <w:lang w:val="ky-KG"/>
              </w:rPr>
              <w:t>,</w:t>
            </w:r>
            <w:r w:rsidR="00277CA6" w:rsidRPr="00C44EE6">
              <w:rPr>
                <w:i/>
                <w:sz w:val="24"/>
                <w:lang w:val="ky-KG"/>
              </w:rPr>
              <w:t>9</w:t>
            </w:r>
            <w:r w:rsidRPr="00C44EE6">
              <w:rPr>
                <w:i/>
                <w:sz w:val="24"/>
                <w:lang w:val="ky-KG"/>
              </w:rPr>
              <w:t xml:space="preserve"> процента </w:t>
            </w:r>
            <w:r w:rsidRPr="00C44EE6">
              <w:rPr>
                <w:i/>
                <w:sz w:val="24"/>
              </w:rPr>
              <w:t>бол</w:t>
            </w:r>
            <w:r w:rsidRPr="00C44EE6">
              <w:rPr>
                <w:i/>
                <w:sz w:val="24"/>
                <w:lang w:val="ky-KG"/>
              </w:rPr>
              <w:t>ь</w:t>
            </w:r>
            <w:proofErr w:type="spellStart"/>
            <w:r w:rsidRPr="00C44EE6">
              <w:rPr>
                <w:i/>
                <w:sz w:val="24"/>
              </w:rPr>
              <w:t>ше</w:t>
            </w:r>
            <w:proofErr w:type="spellEnd"/>
            <w:r w:rsidRPr="00C44EE6">
              <w:rPr>
                <w:i/>
                <w:sz w:val="24"/>
              </w:rPr>
              <w:t>.</w:t>
            </w:r>
          </w:p>
        </w:tc>
      </w:tr>
      <w:tr w:rsidR="00C44EE6" w:rsidRPr="00C44EE6" w14:paraId="44E8B1F4" w14:textId="77777777" w:rsidTr="00FF3C2B">
        <w:tc>
          <w:tcPr>
            <w:tcW w:w="4819" w:type="dxa"/>
            <w:gridSpan w:val="2"/>
          </w:tcPr>
          <w:p w14:paraId="4D574993" w14:textId="5A73E801" w:rsidR="00656550" w:rsidRPr="00C44EE6" w:rsidRDefault="00656550" w:rsidP="00FF3C2B">
            <w:pPr>
              <w:pStyle w:val="24"/>
              <w:jc w:val="both"/>
              <w:rPr>
                <w:rFonts w:ascii="Times New Roman UniToktom" w:hAnsi="Times New Roman UniToktom" w:cs="Times New Roman UniToktom"/>
                <w:b/>
                <w:sz w:val="24"/>
                <w:lang w:val="ky-KG"/>
              </w:rPr>
            </w:pPr>
            <w:bookmarkStart w:id="0" w:name="_MON_1643105829"/>
            <w:bookmarkEnd w:id="0"/>
            <w:r w:rsidRPr="00C44EE6">
              <w:rPr>
                <w:sz w:val="24"/>
                <w:szCs w:val="24"/>
                <w:lang w:val="ky-KG"/>
              </w:rPr>
              <w:t xml:space="preserve">       202</w:t>
            </w:r>
            <w:r w:rsidR="00187E5A" w:rsidRPr="00C44EE6">
              <w:rPr>
                <w:sz w:val="24"/>
                <w:szCs w:val="24"/>
                <w:lang w:val="ky-KG"/>
              </w:rPr>
              <w:t>4</w:t>
            </w:r>
            <w:r w:rsidRPr="00C44EE6">
              <w:rPr>
                <w:sz w:val="24"/>
                <w:szCs w:val="24"/>
                <w:lang w:val="ky-KG"/>
              </w:rPr>
              <w:t xml:space="preserve">-жылы реалдуу сектордун ишканалары тарабынан сальдолоштурулган финансылык жыйынтык </w:t>
            </w:r>
            <w:r w:rsidR="00473550" w:rsidRPr="00C44EE6">
              <w:rPr>
                <w:sz w:val="24"/>
                <w:szCs w:val="24"/>
                <w:lang w:val="ky-KG"/>
              </w:rPr>
              <w:t>9 892,5</w:t>
            </w:r>
            <w:r w:rsidRPr="00C44EE6">
              <w:rPr>
                <w:sz w:val="24"/>
                <w:szCs w:val="24"/>
                <w:lang w:val="ky-KG"/>
              </w:rPr>
              <w:t xml:space="preserve"> млн. сом  пайда менен алынган,  ал эми 202</w:t>
            </w:r>
            <w:r w:rsidR="00473550" w:rsidRPr="00C44EE6">
              <w:rPr>
                <w:sz w:val="24"/>
                <w:szCs w:val="24"/>
                <w:lang w:val="ky-KG"/>
              </w:rPr>
              <w:t>3</w:t>
            </w:r>
            <w:r w:rsidRPr="00C44EE6">
              <w:rPr>
                <w:sz w:val="24"/>
                <w:szCs w:val="24"/>
                <w:lang w:val="ky-KG"/>
              </w:rPr>
              <w:t xml:space="preserve">-жылы   </w:t>
            </w:r>
            <w:r w:rsidR="00473550" w:rsidRPr="00C44EE6">
              <w:rPr>
                <w:sz w:val="24"/>
                <w:szCs w:val="24"/>
                <w:lang w:val="ky-KG"/>
              </w:rPr>
              <w:t>7 111,2</w:t>
            </w:r>
            <w:r w:rsidRPr="00C44EE6">
              <w:rPr>
                <w:sz w:val="24"/>
                <w:szCs w:val="24"/>
                <w:lang w:val="ky-KG"/>
              </w:rPr>
              <w:t xml:space="preserve">   млн. сом өлчөмүндө болгон.</w:t>
            </w:r>
          </w:p>
        </w:tc>
        <w:tc>
          <w:tcPr>
            <w:tcW w:w="4820" w:type="dxa"/>
          </w:tcPr>
          <w:p w14:paraId="28AE61BF" w14:textId="7FF13328" w:rsidR="00656550" w:rsidRPr="00C44EE6" w:rsidRDefault="00656550" w:rsidP="00FF3C2B">
            <w:pPr>
              <w:pStyle w:val="24"/>
              <w:jc w:val="both"/>
              <w:rPr>
                <w:bCs/>
                <w:i/>
                <w:sz w:val="24"/>
                <w:szCs w:val="24"/>
              </w:rPr>
            </w:pPr>
            <w:r w:rsidRPr="00C44EE6">
              <w:rPr>
                <w:rFonts w:ascii="Times New Roman UniToktom" w:hAnsi="Times New Roman UniToktom" w:cs="Times New Roman UniToktom"/>
                <w:b/>
                <w:i/>
                <w:sz w:val="24"/>
                <w:lang w:val="ky-KG"/>
              </w:rPr>
              <w:t xml:space="preserve">     </w:t>
            </w:r>
            <w:r w:rsidRPr="00C44EE6">
              <w:rPr>
                <w:rFonts w:ascii="Times New Roman UniToktom" w:hAnsi="Times New Roman UniToktom" w:cs="Times New Roman UniToktom"/>
                <w:i/>
                <w:sz w:val="24"/>
                <w:lang w:val="ky-KG"/>
              </w:rPr>
              <w:t>В</w:t>
            </w:r>
            <w:r w:rsidRPr="00C44EE6">
              <w:rPr>
                <w:rFonts w:ascii="Times New Roman UniToktom" w:hAnsi="Times New Roman UniToktom" w:cs="Times New Roman UniToktom"/>
                <w:i/>
                <w:sz w:val="24"/>
              </w:rPr>
              <w:t xml:space="preserve"> 20</w:t>
            </w:r>
            <w:r w:rsidRPr="00C44EE6">
              <w:rPr>
                <w:rFonts w:ascii="Times New Roman UniToktom" w:hAnsi="Times New Roman UniToktom" w:cs="Times New Roman UniToktom"/>
                <w:i/>
                <w:sz w:val="24"/>
                <w:lang w:val="ky-KG"/>
              </w:rPr>
              <w:t>2</w:t>
            </w:r>
            <w:r w:rsidR="00473550" w:rsidRPr="00C44EE6">
              <w:rPr>
                <w:rFonts w:ascii="Times New Roman UniToktom" w:hAnsi="Times New Roman UniToktom" w:cs="Times New Roman UniToktom"/>
                <w:i/>
                <w:sz w:val="24"/>
                <w:lang w:val="ky-KG"/>
              </w:rPr>
              <w:t>4</w:t>
            </w:r>
            <w:r w:rsidRPr="00C44EE6">
              <w:rPr>
                <w:rFonts w:ascii="Times New Roman UniToktom" w:hAnsi="Times New Roman UniToktom" w:cs="Times New Roman UniToktom"/>
                <w:i/>
                <w:sz w:val="24"/>
              </w:rPr>
              <w:t xml:space="preserve"> год</w:t>
            </w:r>
            <w:r w:rsidRPr="00C44EE6">
              <w:rPr>
                <w:rFonts w:ascii="Times New Roman UniToktom" w:hAnsi="Times New Roman UniToktom" w:cs="Times New Roman UniToktom"/>
                <w:i/>
                <w:sz w:val="24"/>
                <w:lang w:val="ky-KG"/>
              </w:rPr>
              <w:t>у</w:t>
            </w:r>
            <w:r w:rsidRPr="00C44EE6">
              <w:rPr>
                <w:rFonts w:ascii="Times New Roman UniToktom" w:hAnsi="Times New Roman UniToktom" w:cs="Times New Roman UniToktom"/>
                <w:i/>
                <w:sz w:val="24"/>
              </w:rPr>
              <w:t xml:space="preserve"> сальдированный финансовый результат предприятий реального сектора </w:t>
            </w:r>
            <w:r w:rsidRPr="00C44EE6">
              <w:rPr>
                <w:rFonts w:ascii="Times New Roman UniToktom" w:hAnsi="Times New Roman UniToktom" w:cs="Times New Roman UniToktom"/>
                <w:i/>
                <w:sz w:val="24"/>
                <w:lang w:val="ky-KG"/>
              </w:rPr>
              <w:t xml:space="preserve">составил </w:t>
            </w:r>
            <w:r w:rsidR="00473550" w:rsidRPr="00C44EE6">
              <w:rPr>
                <w:rFonts w:ascii="Times New Roman UniToktom" w:hAnsi="Times New Roman UniToktom" w:cs="Times New Roman UniToktom"/>
                <w:i/>
                <w:sz w:val="24"/>
                <w:lang w:val="ky-KG"/>
              </w:rPr>
              <w:t>9 892,5</w:t>
            </w:r>
            <w:r w:rsidRPr="00C44EE6">
              <w:rPr>
                <w:rFonts w:ascii="Times New Roman UniToktom" w:hAnsi="Times New Roman UniToktom" w:cs="Times New Roman UniToktom"/>
                <w:i/>
                <w:sz w:val="24"/>
                <w:lang w:val="ky-KG"/>
              </w:rPr>
              <w:t xml:space="preserve">  млн. сомов  прибыли (в 2022 году</w:t>
            </w:r>
            <w:r w:rsidRPr="00C44EE6">
              <w:rPr>
                <w:rFonts w:ascii="Times New Roman UniToktom" w:hAnsi="Times New Roman UniToktom" w:cs="Times New Roman UniToktom"/>
                <w:i/>
                <w:sz w:val="24"/>
              </w:rPr>
              <w:t xml:space="preserve"> </w:t>
            </w:r>
            <w:r w:rsidRPr="00C44EE6">
              <w:rPr>
                <w:rFonts w:ascii="Times New Roman UniToktom" w:hAnsi="Times New Roman UniToktom" w:cs="Times New Roman UniToktom"/>
                <w:i/>
                <w:sz w:val="24"/>
                <w:lang w:val="ky-KG"/>
              </w:rPr>
              <w:t>он составлял</w:t>
            </w:r>
            <w:r w:rsidRPr="00C44EE6">
              <w:rPr>
                <w:rFonts w:ascii="Times New Roman UniToktom" w:hAnsi="Times New Roman UniToktom" w:cs="Times New Roman UniToktom"/>
                <w:i/>
                <w:sz w:val="24"/>
              </w:rPr>
              <w:t xml:space="preserve"> </w:t>
            </w:r>
            <w:r w:rsidR="00473550" w:rsidRPr="00C44EE6">
              <w:rPr>
                <w:rFonts w:ascii="Times New Roman UniToktom" w:hAnsi="Times New Roman UniToktom" w:cs="Times New Roman UniToktom"/>
                <w:i/>
                <w:sz w:val="24"/>
              </w:rPr>
              <w:t>7 111,2</w:t>
            </w:r>
            <w:r w:rsidRPr="00C44EE6">
              <w:rPr>
                <w:rFonts w:ascii="Times New Roman UniToktom" w:hAnsi="Times New Roman UniToktom" w:cs="Times New Roman UniToktom"/>
                <w:i/>
                <w:sz w:val="24"/>
                <w:lang w:val="ky-KG"/>
              </w:rPr>
              <w:t xml:space="preserve"> млн</w:t>
            </w:r>
            <w:r w:rsidRPr="00C44EE6">
              <w:rPr>
                <w:rFonts w:ascii="Times New Roman UniToktom" w:hAnsi="Times New Roman UniToktom" w:cs="Times New Roman UniToktom"/>
                <w:i/>
                <w:sz w:val="24"/>
              </w:rPr>
              <w:t>. сом</w:t>
            </w:r>
            <w:r w:rsidRPr="00C44EE6">
              <w:rPr>
                <w:rFonts w:ascii="Times New Roman UniToktom" w:hAnsi="Times New Roman UniToktom" w:cs="Times New Roman UniToktom"/>
                <w:i/>
                <w:sz w:val="24"/>
                <w:lang w:val="ky-KG"/>
              </w:rPr>
              <w:t>ов).</w:t>
            </w:r>
          </w:p>
        </w:tc>
      </w:tr>
      <w:tr w:rsidR="00C44EE6" w:rsidRPr="00C44EE6" w14:paraId="5E127604" w14:textId="77777777" w:rsidTr="00FF3C2B">
        <w:tc>
          <w:tcPr>
            <w:tcW w:w="4819" w:type="dxa"/>
            <w:gridSpan w:val="2"/>
          </w:tcPr>
          <w:p w14:paraId="2DFFC81D" w14:textId="5483C939" w:rsidR="00656550" w:rsidRPr="00C44EE6" w:rsidRDefault="00656550" w:rsidP="00FF3C2B">
            <w:pPr>
              <w:jc w:val="both"/>
              <w:rPr>
                <w:rFonts w:ascii="Times New Roman UniToktom" w:hAnsi="Times New Roman UniToktom" w:cs="Times New Roman UniToktom"/>
                <w:sz w:val="24"/>
                <w:lang w:val="ky-KG"/>
              </w:rPr>
            </w:pPr>
            <w:r w:rsidRPr="00C44EE6">
              <w:rPr>
                <w:sz w:val="24"/>
                <w:lang w:val="ky-KG"/>
              </w:rPr>
              <w:t xml:space="preserve">      202</w:t>
            </w:r>
            <w:r w:rsidR="00473550" w:rsidRPr="00C44EE6">
              <w:rPr>
                <w:sz w:val="24"/>
                <w:lang w:val="ky-KG"/>
              </w:rPr>
              <w:t>4</w:t>
            </w:r>
            <w:r w:rsidRPr="00C44EE6">
              <w:rPr>
                <w:sz w:val="24"/>
                <w:lang w:val="ky-KG"/>
              </w:rPr>
              <w:t xml:space="preserve">-жылы баланстык пайда тапкан </w:t>
            </w:r>
            <w:r w:rsidRPr="00C44EE6">
              <w:rPr>
                <w:rFonts w:ascii="Times New Roman UniToktom" w:hAnsi="Times New Roman UniToktom" w:cs="Times New Roman UniToktom"/>
                <w:sz w:val="24"/>
                <w:lang w:val="ky-KG"/>
              </w:rPr>
              <w:t xml:space="preserve">ишканаларга пайдалуу кендерди казуу </w:t>
            </w:r>
          </w:p>
          <w:p w14:paraId="48ACDEA5" w14:textId="5FA18B15" w:rsidR="00656550" w:rsidRPr="00C44EE6" w:rsidRDefault="009766F8" w:rsidP="00FF3C2B">
            <w:pPr>
              <w:jc w:val="both"/>
              <w:rPr>
                <w:sz w:val="24"/>
                <w:lang w:val="ky-KG"/>
              </w:rPr>
            </w:pPr>
            <w:r w:rsidRPr="00C44EE6">
              <w:rPr>
                <w:rFonts w:ascii="Times New Roman UniToktom" w:hAnsi="Times New Roman UniToktom" w:cs="Times New Roman UniToktom"/>
                <w:sz w:val="24"/>
                <w:lang w:val="ky-KG"/>
              </w:rPr>
              <w:t>8 514,2</w:t>
            </w:r>
            <w:r w:rsidR="00656550" w:rsidRPr="00C44EE6">
              <w:rPr>
                <w:rFonts w:ascii="Times New Roman UniToktom" w:hAnsi="Times New Roman UniToktom" w:cs="Times New Roman UniToktom"/>
                <w:sz w:val="24"/>
                <w:lang w:val="ky-KG"/>
              </w:rPr>
              <w:t xml:space="preserve"> млн. сомдук, </w:t>
            </w:r>
            <w:r w:rsidR="00656550" w:rsidRPr="00C44EE6">
              <w:rPr>
                <w:sz w:val="24"/>
                <w:lang w:val="ky-KG"/>
              </w:rPr>
              <w:t xml:space="preserve">иштетүү өндүрүшү </w:t>
            </w:r>
            <w:r w:rsidR="00791995" w:rsidRPr="00C44EE6">
              <w:rPr>
                <w:sz w:val="24"/>
                <w:lang w:val="ky-KG"/>
              </w:rPr>
              <w:t>1 022,5</w:t>
            </w:r>
            <w:r w:rsidR="00656550" w:rsidRPr="00C44EE6">
              <w:rPr>
                <w:rFonts w:ascii="Times New Roman UniToktom" w:hAnsi="Times New Roman UniToktom" w:cs="Times New Roman UniToktom"/>
                <w:sz w:val="24"/>
                <w:lang w:val="ky-KG"/>
              </w:rPr>
              <w:t xml:space="preserve"> млн. сомдук, </w:t>
            </w:r>
            <w:r w:rsidR="00656550" w:rsidRPr="00C44EE6">
              <w:rPr>
                <w:sz w:val="24"/>
                <w:lang w:val="ky-KG"/>
              </w:rPr>
              <w:t>дүң жана чекене соода</w:t>
            </w:r>
            <w:r w:rsidR="00656550" w:rsidRPr="00C44EE6">
              <w:rPr>
                <w:i/>
                <w:sz w:val="24"/>
                <w:lang w:val="ky-KG"/>
              </w:rPr>
              <w:t>;</w:t>
            </w:r>
            <w:r w:rsidR="00656550" w:rsidRPr="00C44EE6">
              <w:rPr>
                <w:sz w:val="24"/>
                <w:lang w:val="ky-KG"/>
              </w:rPr>
              <w:t xml:space="preserve"> автоунааларды жана мотоциклдерди оңдоо  </w:t>
            </w:r>
            <w:r w:rsidR="00791995" w:rsidRPr="00C44EE6">
              <w:rPr>
                <w:sz w:val="24"/>
                <w:lang w:val="ky-KG"/>
              </w:rPr>
              <w:t>855,8</w:t>
            </w:r>
            <w:r w:rsidR="00656550" w:rsidRPr="00C44EE6">
              <w:rPr>
                <w:sz w:val="24"/>
                <w:lang w:val="ky-KG"/>
              </w:rPr>
              <w:t xml:space="preserve"> млн. сомдук  пайда табышкан.</w:t>
            </w:r>
          </w:p>
        </w:tc>
        <w:tc>
          <w:tcPr>
            <w:tcW w:w="4820" w:type="dxa"/>
          </w:tcPr>
          <w:p w14:paraId="2AE63F2D" w14:textId="679CDA29" w:rsidR="00656550" w:rsidRPr="00C44EE6" w:rsidRDefault="00656550" w:rsidP="00FF3C2B">
            <w:pPr>
              <w:jc w:val="both"/>
              <w:rPr>
                <w:i/>
                <w:sz w:val="24"/>
                <w:lang w:val="ky-KG"/>
              </w:rPr>
            </w:pPr>
            <w:r w:rsidRPr="00C44EE6">
              <w:rPr>
                <w:i/>
                <w:sz w:val="24"/>
                <w:lang w:val="ky-KG"/>
              </w:rPr>
              <w:t xml:space="preserve">      </w:t>
            </w:r>
            <w:r w:rsidRPr="00C44EE6">
              <w:rPr>
                <w:i/>
                <w:sz w:val="24"/>
              </w:rPr>
              <w:t>Основная сумма прибыли в 20</w:t>
            </w:r>
            <w:r w:rsidRPr="00C44EE6">
              <w:rPr>
                <w:i/>
                <w:sz w:val="24"/>
                <w:lang w:val="ky-KG"/>
              </w:rPr>
              <w:t>2</w:t>
            </w:r>
            <w:r w:rsidR="00791995" w:rsidRPr="00C44EE6">
              <w:rPr>
                <w:i/>
                <w:sz w:val="24"/>
                <w:lang w:val="ky-KG"/>
              </w:rPr>
              <w:t>4</w:t>
            </w:r>
            <w:r w:rsidRPr="00C44EE6">
              <w:rPr>
                <w:i/>
                <w:sz w:val="24"/>
              </w:rPr>
              <w:t xml:space="preserve"> году получена предприятиями по </w:t>
            </w:r>
            <w:r w:rsidRPr="00C44EE6">
              <w:rPr>
                <w:i/>
                <w:sz w:val="24"/>
                <w:lang w:val="ky-KG"/>
              </w:rPr>
              <w:t xml:space="preserve">добыче полезных ископаемых </w:t>
            </w:r>
            <w:r w:rsidR="00791995" w:rsidRPr="00C44EE6">
              <w:rPr>
                <w:i/>
                <w:sz w:val="24"/>
                <w:lang w:val="ky-KG"/>
              </w:rPr>
              <w:t>8 514,2</w:t>
            </w:r>
            <w:r w:rsidRPr="00C44EE6">
              <w:rPr>
                <w:i/>
                <w:sz w:val="24"/>
                <w:lang w:val="ky-KG"/>
              </w:rPr>
              <w:t xml:space="preserve"> млн. сомов, обрабатывающих производств </w:t>
            </w:r>
            <w:r w:rsidR="00791995" w:rsidRPr="00C44EE6">
              <w:rPr>
                <w:i/>
                <w:sz w:val="24"/>
                <w:lang w:val="ky-KG"/>
              </w:rPr>
              <w:t>1 022,5</w:t>
            </w:r>
            <w:r w:rsidRPr="00C44EE6">
              <w:rPr>
                <w:i/>
                <w:sz w:val="24"/>
                <w:lang w:val="ky-KG"/>
              </w:rPr>
              <w:t xml:space="preserve"> млн. сомов, организациями </w:t>
            </w:r>
            <w:r w:rsidRPr="00C44EE6">
              <w:rPr>
                <w:i/>
                <w:sz w:val="24"/>
              </w:rPr>
              <w:t>оптовой и розничной торговли; ремонта автомобилей и мотоциклов</w:t>
            </w:r>
            <w:r w:rsidR="00791995" w:rsidRPr="00C44EE6">
              <w:rPr>
                <w:i/>
                <w:sz w:val="24"/>
              </w:rPr>
              <w:t xml:space="preserve"> 855,8</w:t>
            </w:r>
            <w:r w:rsidRPr="00C44EE6">
              <w:rPr>
                <w:i/>
                <w:sz w:val="24"/>
              </w:rPr>
              <w:t xml:space="preserve"> млн. сомов</w:t>
            </w:r>
            <w:r w:rsidRPr="00C44EE6">
              <w:rPr>
                <w:i/>
                <w:sz w:val="24"/>
                <w:lang w:val="ky-KG"/>
              </w:rPr>
              <w:t>.</w:t>
            </w:r>
          </w:p>
        </w:tc>
      </w:tr>
      <w:tr w:rsidR="00C44EE6" w:rsidRPr="00C44EE6" w14:paraId="11A12481" w14:textId="77777777" w:rsidTr="00FF3C2B">
        <w:tc>
          <w:tcPr>
            <w:tcW w:w="4819" w:type="dxa"/>
            <w:gridSpan w:val="2"/>
          </w:tcPr>
          <w:p w14:paraId="05465B09" w14:textId="7BB73FC2" w:rsidR="00656550" w:rsidRPr="00C44EE6" w:rsidRDefault="00656550" w:rsidP="00FF3C2B">
            <w:pPr>
              <w:pStyle w:val="24"/>
              <w:jc w:val="both"/>
              <w:rPr>
                <w:rFonts w:ascii="Times New Roman UniToktom" w:hAnsi="Times New Roman UniToktom" w:cs="Times New Roman UniToktom"/>
                <w:sz w:val="24"/>
                <w:lang w:val="ky-KG"/>
              </w:rPr>
            </w:pPr>
            <w:r w:rsidRPr="00C44EE6">
              <w:rPr>
                <w:rFonts w:ascii="Times New Roman UniToktom" w:hAnsi="Times New Roman UniToktom" w:cs="Times New Roman UniToktom"/>
                <w:sz w:val="24"/>
                <w:lang w:val="ky-KG"/>
              </w:rPr>
              <w:t xml:space="preserve">      Рентабелдүү ишканалардын саны жалпы отчет  берген ишканалардын ичинен – </w:t>
            </w:r>
            <w:r w:rsidR="00225B3C" w:rsidRPr="00C44EE6">
              <w:rPr>
                <w:rFonts w:ascii="Times New Roman UniToktom" w:hAnsi="Times New Roman UniToktom" w:cs="Times New Roman UniToktom"/>
                <w:sz w:val="24"/>
                <w:lang w:val="ky-KG"/>
              </w:rPr>
              <w:t>67,9</w:t>
            </w:r>
            <w:r w:rsidRPr="00C44EE6">
              <w:rPr>
                <w:rFonts w:ascii="Times New Roman UniToktom" w:hAnsi="Times New Roman UniToktom" w:cs="Times New Roman UniToktom"/>
                <w:sz w:val="24"/>
                <w:lang w:val="ky-KG"/>
              </w:rPr>
              <w:t xml:space="preserve"> пайыз болуп, ал эми кирешеси 12</w:t>
            </w:r>
            <w:r w:rsidR="00225B3C" w:rsidRPr="00C44EE6">
              <w:rPr>
                <w:rFonts w:ascii="Times New Roman UniToktom" w:hAnsi="Times New Roman UniToktom" w:cs="Times New Roman UniToktom"/>
                <w:sz w:val="24"/>
                <w:lang w:val="ky-KG"/>
              </w:rPr>
              <w:t> 623,1</w:t>
            </w:r>
            <w:r w:rsidRPr="00C44EE6">
              <w:rPr>
                <w:rFonts w:ascii="Times New Roman UniToktom" w:hAnsi="Times New Roman UniToktom" w:cs="Times New Roman UniToktom"/>
                <w:sz w:val="24"/>
                <w:lang w:val="ky-KG"/>
              </w:rPr>
              <w:t xml:space="preserve"> млн. сомду түздү.</w:t>
            </w:r>
          </w:p>
          <w:p w14:paraId="771F2B1A" w14:textId="77777777" w:rsidR="00656550" w:rsidRPr="00C44EE6" w:rsidRDefault="00656550" w:rsidP="00FF3C2B">
            <w:pPr>
              <w:pStyle w:val="24"/>
              <w:jc w:val="both"/>
              <w:rPr>
                <w:rFonts w:ascii="Times New Roman UniToktom" w:hAnsi="Times New Roman UniToktom" w:cs="Times New Roman UniToktom"/>
                <w:lang w:val="ky-KG"/>
              </w:rPr>
            </w:pPr>
          </w:p>
        </w:tc>
        <w:tc>
          <w:tcPr>
            <w:tcW w:w="4820" w:type="dxa"/>
          </w:tcPr>
          <w:p w14:paraId="01C5858D" w14:textId="2D9EC1C2" w:rsidR="00656550" w:rsidRPr="00C44EE6" w:rsidRDefault="00656550" w:rsidP="00FF3C2B">
            <w:pPr>
              <w:pStyle w:val="24"/>
              <w:jc w:val="both"/>
              <w:rPr>
                <w:rFonts w:ascii="Times New Roman UniToktom" w:hAnsi="Times New Roman UniToktom" w:cs="Times New Roman UniToktom"/>
                <w:i/>
              </w:rPr>
            </w:pPr>
            <w:r w:rsidRPr="00C44EE6">
              <w:rPr>
                <w:rFonts w:ascii="Times New Roman UniToktom" w:hAnsi="Times New Roman UniToktom" w:cs="Times New Roman UniToktom"/>
                <w:i/>
                <w:sz w:val="24"/>
                <w:lang w:val="ky-KG"/>
              </w:rPr>
              <w:t xml:space="preserve">      </w:t>
            </w:r>
            <w:r w:rsidRPr="00C44EE6">
              <w:rPr>
                <w:rFonts w:ascii="Times New Roman UniToktom" w:hAnsi="Times New Roman UniToktom" w:cs="Times New Roman UniToktom"/>
                <w:i/>
                <w:sz w:val="24"/>
              </w:rPr>
              <w:t xml:space="preserve">Удельный вес рентабельных предприятий к общему числу отчитавшихся предприятий составил – </w:t>
            </w:r>
            <w:r w:rsidRPr="00C44EE6">
              <w:rPr>
                <w:rFonts w:ascii="Times New Roman UniToktom" w:hAnsi="Times New Roman UniToktom" w:cs="Times New Roman UniToktom"/>
                <w:i/>
                <w:sz w:val="24"/>
                <w:lang w:val="ky-KG"/>
              </w:rPr>
              <w:t>6</w:t>
            </w:r>
            <w:r w:rsidR="00225B3C" w:rsidRPr="00C44EE6">
              <w:rPr>
                <w:rFonts w:ascii="Times New Roman UniToktom" w:hAnsi="Times New Roman UniToktom" w:cs="Times New Roman UniToktom"/>
                <w:i/>
                <w:sz w:val="24"/>
                <w:lang w:val="ky-KG"/>
              </w:rPr>
              <w:t>7,9</w:t>
            </w:r>
            <w:r w:rsidRPr="00C44EE6">
              <w:rPr>
                <w:rFonts w:ascii="Times New Roman UniToktom" w:hAnsi="Times New Roman UniToktom" w:cs="Times New Roman UniToktom"/>
                <w:i/>
                <w:sz w:val="24"/>
              </w:rPr>
              <w:t xml:space="preserve"> процентов, а сумма прибыли определилась в размере </w:t>
            </w:r>
            <w:r w:rsidRPr="00C44EE6">
              <w:rPr>
                <w:rFonts w:ascii="Times New Roman UniToktom" w:hAnsi="Times New Roman UniToktom" w:cs="Times New Roman UniToktom"/>
                <w:i/>
                <w:sz w:val="24"/>
                <w:lang w:val="ky-KG"/>
              </w:rPr>
              <w:t>1</w:t>
            </w:r>
            <w:r w:rsidR="00225B3C" w:rsidRPr="00C44EE6">
              <w:rPr>
                <w:rFonts w:ascii="Times New Roman UniToktom" w:hAnsi="Times New Roman UniToktom" w:cs="Times New Roman UniToktom"/>
                <w:i/>
                <w:sz w:val="24"/>
                <w:lang w:val="ky-KG"/>
              </w:rPr>
              <w:t>2 623,1</w:t>
            </w:r>
            <w:r w:rsidRPr="00C44EE6">
              <w:rPr>
                <w:rFonts w:ascii="Times New Roman UniToktom" w:hAnsi="Times New Roman UniToktom" w:cs="Times New Roman UniToktom"/>
                <w:i/>
                <w:sz w:val="24"/>
                <w:lang w:val="ky-KG"/>
              </w:rPr>
              <w:t xml:space="preserve"> млн</w:t>
            </w:r>
            <w:r w:rsidRPr="00C44EE6">
              <w:rPr>
                <w:rFonts w:ascii="Times New Roman UniToktom" w:hAnsi="Times New Roman UniToktom" w:cs="Times New Roman UniToktom"/>
                <w:i/>
                <w:sz w:val="24"/>
              </w:rPr>
              <w:t>. сомов.</w:t>
            </w:r>
          </w:p>
        </w:tc>
      </w:tr>
      <w:tr w:rsidR="00C44EE6" w:rsidRPr="00C44EE6" w14:paraId="58FD4526" w14:textId="77777777" w:rsidTr="00FF3C2B">
        <w:tc>
          <w:tcPr>
            <w:tcW w:w="4819" w:type="dxa"/>
            <w:gridSpan w:val="2"/>
          </w:tcPr>
          <w:p w14:paraId="6E0217C5" w14:textId="237F257B" w:rsidR="00656550" w:rsidRPr="00C44EE6" w:rsidRDefault="00656550" w:rsidP="00FF3C2B">
            <w:pPr>
              <w:pStyle w:val="24"/>
              <w:jc w:val="both"/>
              <w:rPr>
                <w:rFonts w:ascii="Times New Roman UniToktom" w:hAnsi="Times New Roman UniToktom" w:cs="Times New Roman UniToktom"/>
                <w:lang w:val="ky-KG"/>
              </w:rPr>
            </w:pPr>
            <w:r w:rsidRPr="00C44EE6">
              <w:rPr>
                <w:rFonts w:ascii="Times New Roman UniToktom" w:hAnsi="Times New Roman UniToktom" w:cs="Times New Roman UniToktom"/>
                <w:sz w:val="24"/>
                <w:lang w:val="ky-KG"/>
              </w:rPr>
              <w:t xml:space="preserve">      Облустун региондорунун ичинен 202</w:t>
            </w:r>
            <w:r w:rsidR="00225B3C" w:rsidRPr="00C44EE6">
              <w:rPr>
                <w:rFonts w:ascii="Times New Roman UniToktom" w:hAnsi="Times New Roman UniToktom" w:cs="Times New Roman UniToktom"/>
                <w:sz w:val="24"/>
                <w:lang w:val="ky-KG"/>
              </w:rPr>
              <w:t>4</w:t>
            </w:r>
            <w:r w:rsidRPr="00C44EE6">
              <w:rPr>
                <w:rFonts w:ascii="Times New Roman UniToktom" w:hAnsi="Times New Roman UniToktom" w:cs="Times New Roman UniToktom"/>
                <w:sz w:val="24"/>
                <w:lang w:val="ky-KG"/>
              </w:rPr>
              <w:t xml:space="preserve">-жылы баланстык кирешенин негизги бөлүгүн төмөнкү райондордун ишканалары түздү: Ала-бука району </w:t>
            </w:r>
            <w:r w:rsidR="00225B3C" w:rsidRPr="00C44EE6">
              <w:rPr>
                <w:rFonts w:ascii="Times New Roman UniToktom" w:hAnsi="Times New Roman UniToktom" w:cs="Times New Roman UniToktom"/>
                <w:sz w:val="24"/>
                <w:lang w:val="ky-KG"/>
              </w:rPr>
              <w:t>6,1</w:t>
            </w:r>
            <w:r w:rsidRPr="00C44EE6">
              <w:rPr>
                <w:rFonts w:ascii="Times New Roman UniToktom" w:hAnsi="Times New Roman UniToktom" w:cs="Times New Roman UniToktom"/>
                <w:sz w:val="24"/>
                <w:lang w:val="ky-KG"/>
              </w:rPr>
              <w:t xml:space="preserve"> пайызды (</w:t>
            </w:r>
            <w:r w:rsidR="00225B3C" w:rsidRPr="00C44EE6">
              <w:rPr>
                <w:rFonts w:ascii="Times New Roman UniToktom" w:hAnsi="Times New Roman UniToktom" w:cs="Times New Roman UniToktom"/>
                <w:sz w:val="24"/>
                <w:lang w:val="ky-KG"/>
              </w:rPr>
              <w:t>770,4</w:t>
            </w:r>
            <w:r w:rsidRPr="00C44EE6">
              <w:rPr>
                <w:rFonts w:ascii="Times New Roman UniToktom" w:hAnsi="Times New Roman UniToktom" w:cs="Times New Roman UniToktom"/>
                <w:sz w:val="24"/>
                <w:lang w:val="ky-KG"/>
              </w:rPr>
              <w:t xml:space="preserve"> млн. сом), Ноокен  району </w:t>
            </w:r>
            <w:r w:rsidR="00225B3C" w:rsidRPr="00C44EE6">
              <w:rPr>
                <w:rFonts w:ascii="Times New Roman UniToktom" w:hAnsi="Times New Roman UniToktom" w:cs="Times New Roman UniToktom"/>
                <w:sz w:val="24"/>
                <w:lang w:val="ky-KG"/>
              </w:rPr>
              <w:t>26,2</w:t>
            </w:r>
            <w:r w:rsidRPr="00C44EE6">
              <w:rPr>
                <w:rFonts w:ascii="Times New Roman UniToktom" w:hAnsi="Times New Roman UniToktom" w:cs="Times New Roman UniToktom"/>
                <w:sz w:val="24"/>
                <w:lang w:val="ky-KG"/>
              </w:rPr>
              <w:t xml:space="preserve"> пайызды (</w:t>
            </w:r>
            <w:r w:rsidR="00225B3C" w:rsidRPr="00C44EE6">
              <w:rPr>
                <w:rFonts w:ascii="Times New Roman UniToktom" w:hAnsi="Times New Roman UniToktom" w:cs="Times New Roman UniToktom"/>
                <w:sz w:val="24"/>
                <w:lang w:val="ky-KG"/>
              </w:rPr>
              <w:t>3 309,9</w:t>
            </w:r>
            <w:r w:rsidRPr="00C44EE6">
              <w:rPr>
                <w:rFonts w:ascii="Times New Roman UniToktom" w:hAnsi="Times New Roman UniToktom" w:cs="Times New Roman UniToktom"/>
                <w:sz w:val="24"/>
                <w:lang w:val="ky-KG"/>
              </w:rPr>
              <w:t xml:space="preserve"> млн. сом), Чаткал району </w:t>
            </w:r>
            <w:r w:rsidR="00225B3C" w:rsidRPr="00C44EE6">
              <w:rPr>
                <w:rFonts w:ascii="Times New Roman UniToktom" w:hAnsi="Times New Roman UniToktom" w:cs="Times New Roman UniToktom"/>
                <w:sz w:val="24"/>
                <w:lang w:val="ky-KG"/>
              </w:rPr>
              <w:t>42,4</w:t>
            </w:r>
            <w:r w:rsidRPr="00C44EE6">
              <w:rPr>
                <w:rFonts w:ascii="Times New Roman UniToktom" w:hAnsi="Times New Roman UniToktom" w:cs="Times New Roman UniToktom"/>
                <w:sz w:val="24"/>
                <w:lang w:val="ky-KG"/>
              </w:rPr>
              <w:t xml:space="preserve"> пайызды (</w:t>
            </w:r>
            <w:r w:rsidR="00225B3C" w:rsidRPr="00C44EE6">
              <w:rPr>
                <w:rFonts w:ascii="Times New Roman UniToktom" w:hAnsi="Times New Roman UniToktom" w:cs="Times New Roman UniToktom"/>
                <w:sz w:val="24"/>
                <w:lang w:val="ky-KG"/>
              </w:rPr>
              <w:t>5 357,1</w:t>
            </w:r>
            <w:r w:rsidRPr="00C44EE6">
              <w:rPr>
                <w:rFonts w:ascii="Times New Roman UniToktom" w:hAnsi="Times New Roman UniToktom" w:cs="Times New Roman UniToktom"/>
                <w:sz w:val="24"/>
                <w:lang w:val="ky-KG"/>
              </w:rPr>
              <w:t xml:space="preserve"> млн. сом), Жалал-Абад шаары</w:t>
            </w:r>
            <w:r w:rsidR="00225B3C" w:rsidRPr="00C44EE6">
              <w:rPr>
                <w:rFonts w:ascii="Times New Roman UniToktom" w:hAnsi="Times New Roman UniToktom" w:cs="Times New Roman UniToktom"/>
                <w:sz w:val="24"/>
                <w:lang w:val="ky-KG"/>
              </w:rPr>
              <w:t xml:space="preserve"> 16,6</w:t>
            </w:r>
            <w:r w:rsidRPr="00C44EE6">
              <w:rPr>
                <w:rFonts w:ascii="Times New Roman UniToktom" w:hAnsi="Times New Roman UniToktom" w:cs="Times New Roman UniToktom"/>
                <w:sz w:val="24"/>
                <w:lang w:val="ky-KG"/>
              </w:rPr>
              <w:t xml:space="preserve"> пайызды (</w:t>
            </w:r>
            <w:r w:rsidR="00225B3C" w:rsidRPr="00C44EE6">
              <w:rPr>
                <w:rFonts w:ascii="Times New Roman UniToktom" w:hAnsi="Times New Roman UniToktom" w:cs="Times New Roman UniToktom"/>
                <w:sz w:val="24"/>
                <w:lang w:val="ky-KG"/>
              </w:rPr>
              <w:t>2 103,1</w:t>
            </w:r>
            <w:r w:rsidRPr="00C44EE6">
              <w:rPr>
                <w:rFonts w:ascii="Times New Roman UniToktom" w:hAnsi="Times New Roman UniToktom" w:cs="Times New Roman UniToktom"/>
                <w:sz w:val="24"/>
                <w:lang w:val="ky-KG"/>
              </w:rPr>
              <w:t xml:space="preserve"> млн. сом).</w:t>
            </w:r>
          </w:p>
        </w:tc>
        <w:tc>
          <w:tcPr>
            <w:tcW w:w="4820" w:type="dxa"/>
          </w:tcPr>
          <w:p w14:paraId="6156C62B" w14:textId="5ABF2148" w:rsidR="00656550" w:rsidRPr="00C44EE6" w:rsidRDefault="00656550" w:rsidP="00FF3C2B">
            <w:pPr>
              <w:pStyle w:val="24"/>
              <w:jc w:val="both"/>
              <w:rPr>
                <w:rFonts w:ascii="Times New Roman UniToktom" w:hAnsi="Times New Roman UniToktom" w:cs="Times New Roman UniToktom"/>
                <w:i/>
                <w:lang w:val="ky-KG"/>
              </w:rPr>
            </w:pPr>
            <w:r w:rsidRPr="00C44EE6">
              <w:rPr>
                <w:rFonts w:ascii="Times New Roman UniToktom" w:hAnsi="Times New Roman UniToktom" w:cs="Times New Roman UniToktom"/>
                <w:i/>
                <w:sz w:val="24"/>
                <w:lang w:val="ky-KG"/>
              </w:rPr>
              <w:t xml:space="preserve">      </w:t>
            </w:r>
            <w:r w:rsidRPr="00C44EE6">
              <w:rPr>
                <w:rFonts w:ascii="Times New Roman UniToktom" w:hAnsi="Times New Roman UniToktom" w:cs="Times New Roman UniToktom"/>
                <w:i/>
                <w:sz w:val="24"/>
              </w:rPr>
              <w:t xml:space="preserve">По регионам области основная доля прибыли получена предприятиями </w:t>
            </w:r>
            <w:r w:rsidRPr="00C44EE6">
              <w:rPr>
                <w:rFonts w:ascii="Times New Roman UniToktom" w:hAnsi="Times New Roman UniToktom" w:cs="Times New Roman UniToktom"/>
                <w:i/>
                <w:sz w:val="24"/>
                <w:lang w:val="ky-KG"/>
              </w:rPr>
              <w:t xml:space="preserve">Ала-Букинского района – </w:t>
            </w:r>
            <w:r w:rsidR="00225B3C" w:rsidRPr="00C44EE6">
              <w:rPr>
                <w:rFonts w:ascii="Times New Roman UniToktom" w:hAnsi="Times New Roman UniToktom" w:cs="Times New Roman UniToktom"/>
                <w:i/>
                <w:sz w:val="24"/>
                <w:lang w:val="ky-KG"/>
              </w:rPr>
              <w:t>6,1</w:t>
            </w:r>
            <w:r w:rsidRPr="00C44EE6">
              <w:rPr>
                <w:rFonts w:ascii="Times New Roman UniToktom" w:hAnsi="Times New Roman UniToktom" w:cs="Times New Roman UniToktom"/>
                <w:i/>
                <w:sz w:val="24"/>
                <w:lang w:val="ky-KG"/>
              </w:rPr>
              <w:t xml:space="preserve"> процента (</w:t>
            </w:r>
            <w:r w:rsidR="00225B3C" w:rsidRPr="00C44EE6">
              <w:rPr>
                <w:rFonts w:ascii="Times New Roman UniToktom" w:hAnsi="Times New Roman UniToktom" w:cs="Times New Roman UniToktom"/>
                <w:i/>
                <w:sz w:val="24"/>
                <w:lang w:val="ky-KG"/>
              </w:rPr>
              <w:t>770,4</w:t>
            </w:r>
            <w:r w:rsidRPr="00C44EE6">
              <w:rPr>
                <w:rFonts w:ascii="Times New Roman UniToktom" w:hAnsi="Times New Roman UniToktom" w:cs="Times New Roman UniToktom"/>
                <w:i/>
                <w:sz w:val="24"/>
                <w:lang w:val="ky-KG"/>
              </w:rPr>
              <w:t xml:space="preserve"> млн. сом), Ноокенского района -</w:t>
            </w:r>
            <w:r w:rsidR="00225B3C" w:rsidRPr="00C44EE6">
              <w:rPr>
                <w:rFonts w:ascii="Times New Roman UniToktom" w:hAnsi="Times New Roman UniToktom" w:cs="Times New Roman UniToktom"/>
                <w:i/>
                <w:sz w:val="24"/>
                <w:lang w:val="ky-KG"/>
              </w:rPr>
              <w:t xml:space="preserve"> 26,2</w:t>
            </w:r>
            <w:r w:rsidRPr="00C44EE6">
              <w:rPr>
                <w:rFonts w:ascii="Times New Roman UniToktom" w:hAnsi="Times New Roman UniToktom" w:cs="Times New Roman UniToktom"/>
                <w:i/>
                <w:sz w:val="24"/>
                <w:lang w:val="ky-KG"/>
              </w:rPr>
              <w:t xml:space="preserve"> процента (3</w:t>
            </w:r>
            <w:r w:rsidR="00225B3C" w:rsidRPr="00C44EE6">
              <w:rPr>
                <w:rFonts w:ascii="Times New Roman UniToktom" w:hAnsi="Times New Roman UniToktom" w:cs="Times New Roman UniToktom"/>
                <w:i/>
                <w:sz w:val="24"/>
                <w:lang w:val="ky-KG"/>
              </w:rPr>
              <w:t> </w:t>
            </w:r>
            <w:r w:rsidRPr="00C44EE6">
              <w:rPr>
                <w:rFonts w:ascii="Times New Roman UniToktom" w:hAnsi="Times New Roman UniToktom" w:cs="Times New Roman UniToktom"/>
                <w:i/>
                <w:sz w:val="24"/>
                <w:lang w:val="ky-KG"/>
              </w:rPr>
              <w:t>3</w:t>
            </w:r>
            <w:r w:rsidR="00225B3C" w:rsidRPr="00C44EE6">
              <w:rPr>
                <w:rFonts w:ascii="Times New Roman UniToktom" w:hAnsi="Times New Roman UniToktom" w:cs="Times New Roman UniToktom"/>
                <w:i/>
                <w:sz w:val="24"/>
                <w:lang w:val="ky-KG"/>
              </w:rPr>
              <w:t>09,9</w:t>
            </w:r>
            <w:r w:rsidRPr="00C44EE6">
              <w:rPr>
                <w:rFonts w:ascii="Times New Roman UniToktom" w:hAnsi="Times New Roman UniToktom" w:cs="Times New Roman UniToktom"/>
                <w:i/>
                <w:sz w:val="24"/>
                <w:lang w:val="ky-KG"/>
              </w:rPr>
              <w:t xml:space="preserve"> млн. сом), Чаткалского района </w:t>
            </w:r>
            <w:r w:rsidR="00225B3C" w:rsidRPr="00C44EE6">
              <w:rPr>
                <w:rFonts w:ascii="Times New Roman UniToktom" w:hAnsi="Times New Roman UniToktom" w:cs="Times New Roman UniToktom"/>
                <w:i/>
                <w:sz w:val="24"/>
                <w:lang w:val="ky-KG"/>
              </w:rPr>
              <w:t>42,4</w:t>
            </w:r>
            <w:r w:rsidRPr="00C44EE6">
              <w:rPr>
                <w:rFonts w:ascii="Times New Roman UniToktom" w:hAnsi="Times New Roman UniToktom" w:cs="Times New Roman UniToktom"/>
                <w:i/>
                <w:sz w:val="24"/>
                <w:lang w:val="ky-KG"/>
              </w:rPr>
              <w:t xml:space="preserve"> процента (</w:t>
            </w:r>
            <w:r w:rsidR="00225B3C" w:rsidRPr="00C44EE6">
              <w:rPr>
                <w:rFonts w:ascii="Times New Roman UniToktom" w:hAnsi="Times New Roman UniToktom" w:cs="Times New Roman UniToktom"/>
                <w:i/>
                <w:sz w:val="24"/>
                <w:lang w:val="ky-KG"/>
              </w:rPr>
              <w:t>5 357,1</w:t>
            </w:r>
            <w:r w:rsidRPr="00C44EE6">
              <w:rPr>
                <w:rFonts w:ascii="Times New Roman UniToktom" w:hAnsi="Times New Roman UniToktom" w:cs="Times New Roman UniToktom"/>
                <w:i/>
                <w:sz w:val="24"/>
                <w:lang w:val="ky-KG"/>
              </w:rPr>
              <w:t xml:space="preserve"> млн. сом), а также предприятиями города Джалал-Абад</w:t>
            </w:r>
            <w:r w:rsidRPr="00C44EE6">
              <w:rPr>
                <w:rFonts w:ascii="Times New Roman UniToktom" w:hAnsi="Times New Roman UniToktom" w:cs="Times New Roman UniToktom"/>
                <w:i/>
                <w:sz w:val="24"/>
              </w:rPr>
              <w:t xml:space="preserve"> – </w:t>
            </w:r>
            <w:r w:rsidRPr="00C44EE6">
              <w:rPr>
                <w:rFonts w:ascii="Times New Roman UniToktom" w:hAnsi="Times New Roman UniToktom" w:cs="Times New Roman UniToktom"/>
                <w:i/>
                <w:sz w:val="24"/>
                <w:lang w:val="ky-KG"/>
              </w:rPr>
              <w:t>1</w:t>
            </w:r>
            <w:r w:rsidR="00225B3C" w:rsidRPr="00C44EE6">
              <w:rPr>
                <w:rFonts w:ascii="Times New Roman UniToktom" w:hAnsi="Times New Roman UniToktom" w:cs="Times New Roman UniToktom"/>
                <w:i/>
                <w:sz w:val="24"/>
                <w:lang w:val="ky-KG"/>
              </w:rPr>
              <w:t>6</w:t>
            </w:r>
            <w:r w:rsidRPr="00C44EE6">
              <w:rPr>
                <w:rFonts w:ascii="Times New Roman UniToktom" w:hAnsi="Times New Roman UniToktom" w:cs="Times New Roman UniToktom"/>
                <w:i/>
                <w:sz w:val="24"/>
                <w:lang w:val="ky-KG"/>
              </w:rPr>
              <w:t>,</w:t>
            </w:r>
            <w:r w:rsidR="00225B3C" w:rsidRPr="00C44EE6">
              <w:rPr>
                <w:rFonts w:ascii="Times New Roman UniToktom" w:hAnsi="Times New Roman UniToktom" w:cs="Times New Roman UniToktom"/>
                <w:i/>
                <w:sz w:val="24"/>
                <w:lang w:val="ky-KG"/>
              </w:rPr>
              <w:t>6</w:t>
            </w:r>
            <w:r w:rsidRPr="00C44EE6">
              <w:rPr>
                <w:rFonts w:ascii="Times New Roman UniToktom" w:hAnsi="Times New Roman UniToktom" w:cs="Times New Roman UniToktom"/>
                <w:i/>
                <w:sz w:val="24"/>
              </w:rPr>
              <w:t xml:space="preserve"> процента (</w:t>
            </w:r>
            <w:r w:rsidR="00225B3C" w:rsidRPr="00C44EE6">
              <w:rPr>
                <w:rFonts w:ascii="Times New Roman UniToktom" w:hAnsi="Times New Roman UniToktom" w:cs="Times New Roman UniToktom"/>
                <w:i/>
                <w:sz w:val="24"/>
              </w:rPr>
              <w:t>2 103,1</w:t>
            </w:r>
            <w:r w:rsidRPr="00C44EE6">
              <w:rPr>
                <w:rFonts w:ascii="Times New Roman UniToktom" w:hAnsi="Times New Roman UniToktom" w:cs="Times New Roman UniToktom"/>
                <w:i/>
                <w:sz w:val="24"/>
                <w:lang w:val="ky-KG"/>
              </w:rPr>
              <w:t xml:space="preserve"> млн</w:t>
            </w:r>
            <w:r w:rsidRPr="00C44EE6">
              <w:rPr>
                <w:rFonts w:ascii="Times New Roman UniToktom" w:hAnsi="Times New Roman UniToktom" w:cs="Times New Roman UniToktom"/>
                <w:i/>
                <w:sz w:val="24"/>
              </w:rPr>
              <w:t>. сом</w:t>
            </w:r>
            <w:r w:rsidRPr="00C44EE6">
              <w:rPr>
                <w:rFonts w:ascii="Times New Roman UniToktom" w:hAnsi="Times New Roman UniToktom" w:cs="Times New Roman UniToktom"/>
                <w:i/>
                <w:sz w:val="24"/>
                <w:lang w:val="ky-KG"/>
              </w:rPr>
              <w:t xml:space="preserve">). </w:t>
            </w:r>
          </w:p>
        </w:tc>
      </w:tr>
      <w:tr w:rsidR="00C44EE6" w:rsidRPr="00C44EE6" w14:paraId="2CF1EF99" w14:textId="77777777" w:rsidTr="00FF3C2B">
        <w:tc>
          <w:tcPr>
            <w:tcW w:w="4819" w:type="dxa"/>
            <w:gridSpan w:val="2"/>
          </w:tcPr>
          <w:p w14:paraId="0752A15E" w14:textId="4B32B642" w:rsidR="00656550" w:rsidRPr="00C44EE6" w:rsidRDefault="00656550" w:rsidP="00FF3C2B">
            <w:pPr>
              <w:pStyle w:val="24"/>
              <w:jc w:val="both"/>
              <w:rPr>
                <w:rFonts w:ascii="Times New Roman UniToktom" w:hAnsi="Times New Roman UniToktom" w:cs="Times New Roman UniToktom"/>
                <w:lang w:val="ky-KG"/>
              </w:rPr>
            </w:pPr>
            <w:r w:rsidRPr="00C44EE6">
              <w:rPr>
                <w:rFonts w:ascii="Times New Roman UniToktom" w:hAnsi="Times New Roman UniToktom" w:cs="Times New Roman UniToktom"/>
                <w:sz w:val="24"/>
                <w:lang w:val="ky-KG"/>
              </w:rPr>
              <w:t xml:space="preserve">      Чыгашалуу ишканалардын үлүшү жалпы санына салыштырмалуу </w:t>
            </w:r>
            <w:r w:rsidR="00C455E2" w:rsidRPr="00C44EE6">
              <w:rPr>
                <w:rFonts w:ascii="Times New Roman UniToktom" w:hAnsi="Times New Roman UniToktom" w:cs="Times New Roman UniToktom"/>
                <w:sz w:val="24"/>
                <w:lang w:val="ky-KG"/>
              </w:rPr>
              <w:t>11,3</w:t>
            </w:r>
            <w:r w:rsidRPr="00C44EE6">
              <w:rPr>
                <w:rFonts w:ascii="Times New Roman UniToktom" w:hAnsi="Times New Roman UniToktom" w:cs="Times New Roman UniToktom"/>
                <w:sz w:val="24"/>
                <w:lang w:val="ky-KG"/>
              </w:rPr>
              <w:t xml:space="preserve"> пайызды түзгөн, ал эми рентабелдүү эмес ишканалардын  чыгымдарынын суммасы  -</w:t>
            </w:r>
            <w:r w:rsidR="00C455E2" w:rsidRPr="00C44EE6">
              <w:rPr>
                <w:rFonts w:ascii="Times New Roman UniToktom" w:hAnsi="Times New Roman UniToktom" w:cs="Times New Roman UniToktom"/>
                <w:sz w:val="24"/>
                <w:lang w:val="ky-KG"/>
              </w:rPr>
              <w:t>2 730,6</w:t>
            </w:r>
            <w:r w:rsidRPr="00C44EE6">
              <w:rPr>
                <w:rFonts w:ascii="Times New Roman UniToktom" w:hAnsi="Times New Roman UniToktom" w:cs="Times New Roman UniToktom"/>
                <w:sz w:val="24"/>
                <w:lang w:val="ky-KG"/>
              </w:rPr>
              <w:t xml:space="preserve"> млн. сомду түзгөн. </w:t>
            </w:r>
          </w:p>
        </w:tc>
        <w:tc>
          <w:tcPr>
            <w:tcW w:w="4820" w:type="dxa"/>
          </w:tcPr>
          <w:p w14:paraId="08054F78" w14:textId="78C6B53D" w:rsidR="00656550" w:rsidRPr="00C44EE6" w:rsidRDefault="00656550" w:rsidP="00FF3C2B">
            <w:pPr>
              <w:pStyle w:val="24"/>
              <w:jc w:val="both"/>
              <w:rPr>
                <w:rFonts w:ascii="Times New Roman UniToktom" w:hAnsi="Times New Roman UniToktom" w:cs="Times New Roman UniToktom"/>
                <w:i/>
                <w:sz w:val="24"/>
              </w:rPr>
            </w:pPr>
            <w:r w:rsidRPr="00C44EE6">
              <w:rPr>
                <w:rFonts w:ascii="Times New Roman UniToktom" w:hAnsi="Times New Roman UniToktom" w:cs="Times New Roman UniToktom"/>
                <w:i/>
                <w:sz w:val="24"/>
                <w:lang w:val="ky-KG"/>
              </w:rPr>
              <w:t xml:space="preserve">     </w:t>
            </w:r>
            <w:r w:rsidRPr="00C44EE6">
              <w:rPr>
                <w:rFonts w:ascii="Times New Roman UniToktom" w:hAnsi="Times New Roman UniToktom" w:cs="Times New Roman UniToktom"/>
                <w:i/>
                <w:sz w:val="24"/>
              </w:rPr>
              <w:t xml:space="preserve">Доля убыточных предприятий к общему количеству составила </w:t>
            </w:r>
            <w:r w:rsidR="00C455E2" w:rsidRPr="00C44EE6">
              <w:rPr>
                <w:rFonts w:ascii="Times New Roman UniToktom" w:hAnsi="Times New Roman UniToktom" w:cs="Times New Roman UniToktom"/>
                <w:i/>
                <w:sz w:val="24"/>
              </w:rPr>
              <w:t>11,3</w:t>
            </w:r>
            <w:r w:rsidRPr="00C44EE6">
              <w:rPr>
                <w:rFonts w:ascii="Times New Roman UniToktom" w:hAnsi="Times New Roman UniToktom" w:cs="Times New Roman UniToktom"/>
                <w:i/>
                <w:sz w:val="24"/>
              </w:rPr>
              <w:t xml:space="preserve"> процента, а сумма убытков нерентабельных предприятий составила </w:t>
            </w:r>
            <w:r w:rsidRPr="00C44EE6">
              <w:rPr>
                <w:rFonts w:ascii="Times New Roman UniToktom" w:hAnsi="Times New Roman UniToktom" w:cs="Times New Roman UniToktom"/>
                <w:i/>
                <w:sz w:val="24"/>
                <w:lang w:val="ky-KG"/>
              </w:rPr>
              <w:t>-</w:t>
            </w:r>
            <w:r w:rsidR="00C455E2" w:rsidRPr="00C44EE6">
              <w:rPr>
                <w:rFonts w:ascii="Times New Roman UniToktom" w:hAnsi="Times New Roman UniToktom" w:cs="Times New Roman UniToktom"/>
                <w:i/>
                <w:sz w:val="24"/>
                <w:lang w:val="ky-KG"/>
              </w:rPr>
              <w:t>2</w:t>
            </w:r>
            <w:r w:rsidRPr="00C44EE6">
              <w:rPr>
                <w:rFonts w:ascii="Times New Roman UniToktom" w:hAnsi="Times New Roman UniToktom" w:cs="Times New Roman UniToktom"/>
                <w:i/>
                <w:sz w:val="24"/>
                <w:lang w:val="ky-KG"/>
              </w:rPr>
              <w:t> 73</w:t>
            </w:r>
            <w:r w:rsidR="00C455E2" w:rsidRPr="00C44EE6">
              <w:rPr>
                <w:rFonts w:ascii="Times New Roman UniToktom" w:hAnsi="Times New Roman UniToktom" w:cs="Times New Roman UniToktom"/>
                <w:i/>
                <w:sz w:val="24"/>
                <w:lang w:val="ky-KG"/>
              </w:rPr>
              <w:t>0</w:t>
            </w:r>
            <w:r w:rsidRPr="00C44EE6">
              <w:rPr>
                <w:rFonts w:ascii="Times New Roman UniToktom" w:hAnsi="Times New Roman UniToktom" w:cs="Times New Roman UniToktom"/>
                <w:i/>
                <w:sz w:val="24"/>
                <w:lang w:val="ky-KG"/>
              </w:rPr>
              <w:t>,</w:t>
            </w:r>
            <w:r w:rsidR="00C455E2" w:rsidRPr="00C44EE6">
              <w:rPr>
                <w:rFonts w:ascii="Times New Roman UniToktom" w:hAnsi="Times New Roman UniToktom" w:cs="Times New Roman UniToktom"/>
                <w:i/>
                <w:sz w:val="24"/>
                <w:lang w:val="ky-KG"/>
              </w:rPr>
              <w:t>6</w:t>
            </w:r>
            <w:r w:rsidRPr="00C44EE6">
              <w:rPr>
                <w:rFonts w:ascii="Times New Roman UniToktom" w:hAnsi="Times New Roman UniToktom" w:cs="Times New Roman UniToktom"/>
                <w:i/>
                <w:sz w:val="24"/>
                <w:lang w:val="ky-KG"/>
              </w:rPr>
              <w:t> млн</w:t>
            </w:r>
            <w:r w:rsidRPr="00C44EE6">
              <w:rPr>
                <w:rFonts w:ascii="Times New Roman UniToktom" w:hAnsi="Times New Roman UniToktom" w:cs="Times New Roman UniToktom"/>
                <w:i/>
                <w:sz w:val="24"/>
              </w:rPr>
              <w:t xml:space="preserve">. сомов. </w:t>
            </w:r>
          </w:p>
          <w:p w14:paraId="4EC66A89" w14:textId="77777777" w:rsidR="00656550" w:rsidRPr="00C44EE6" w:rsidRDefault="00656550" w:rsidP="00FF3C2B">
            <w:pPr>
              <w:pStyle w:val="24"/>
              <w:jc w:val="both"/>
              <w:rPr>
                <w:rFonts w:ascii="Times New Roman UniToktom" w:hAnsi="Times New Roman UniToktom" w:cs="Times New Roman UniToktom"/>
                <w:i/>
              </w:rPr>
            </w:pPr>
          </w:p>
        </w:tc>
      </w:tr>
      <w:tr w:rsidR="00656550" w:rsidRPr="00C44EE6" w14:paraId="29FEAE17" w14:textId="77777777" w:rsidTr="00FF3C2B">
        <w:tc>
          <w:tcPr>
            <w:tcW w:w="4819" w:type="dxa"/>
            <w:gridSpan w:val="2"/>
          </w:tcPr>
          <w:p w14:paraId="588194A7" w14:textId="70D8C0FA" w:rsidR="00656550" w:rsidRPr="00C44EE6" w:rsidRDefault="00656550" w:rsidP="00FF3C2B">
            <w:pPr>
              <w:pStyle w:val="24"/>
              <w:jc w:val="both"/>
              <w:rPr>
                <w:rFonts w:ascii="Times New Roman UniToktom" w:hAnsi="Times New Roman UniToktom" w:cs="Times New Roman UniToktom"/>
                <w:sz w:val="24"/>
                <w:lang w:val="ky-KG"/>
              </w:rPr>
            </w:pPr>
            <w:r w:rsidRPr="00C44EE6">
              <w:rPr>
                <w:rFonts w:ascii="Times New Roman UniToktom" w:hAnsi="Times New Roman UniToktom" w:cs="Times New Roman UniToktom"/>
                <w:sz w:val="24"/>
                <w:lang w:val="ky-KG"/>
              </w:rPr>
              <w:t xml:space="preserve">      Эң көп чыгымды тарткандарга Чаткал районунун ишканалары</w:t>
            </w:r>
            <w:r w:rsidR="00B67E94" w:rsidRPr="00C44EE6">
              <w:rPr>
                <w:rFonts w:ascii="Times New Roman UniToktom" w:hAnsi="Times New Roman UniToktom" w:cs="Times New Roman UniToktom"/>
                <w:sz w:val="24"/>
                <w:lang w:val="ky-KG"/>
              </w:rPr>
              <w:t xml:space="preserve"> </w:t>
            </w:r>
            <w:r w:rsidRPr="00C44EE6">
              <w:rPr>
                <w:rFonts w:ascii="Times New Roman UniToktom" w:hAnsi="Times New Roman UniToktom" w:cs="Times New Roman UniToktom"/>
                <w:sz w:val="24"/>
                <w:lang w:val="ky-KG"/>
              </w:rPr>
              <w:t xml:space="preserve">– </w:t>
            </w:r>
            <w:r w:rsidR="00B67E94" w:rsidRPr="00C44EE6">
              <w:rPr>
                <w:rFonts w:ascii="Times New Roman UniToktom" w:hAnsi="Times New Roman UniToktom" w:cs="Times New Roman UniToktom"/>
                <w:sz w:val="24"/>
                <w:lang w:val="ky-KG"/>
              </w:rPr>
              <w:t>46,0</w:t>
            </w:r>
            <w:r w:rsidRPr="00C44EE6">
              <w:rPr>
                <w:rFonts w:ascii="Times New Roman UniToktom" w:hAnsi="Times New Roman UniToktom" w:cs="Times New Roman UniToktom"/>
                <w:sz w:val="24"/>
                <w:lang w:val="ky-KG"/>
              </w:rPr>
              <w:t xml:space="preserve"> пайыз (-</w:t>
            </w:r>
            <w:r w:rsidR="00B67E94" w:rsidRPr="00C44EE6">
              <w:rPr>
                <w:rFonts w:ascii="Times New Roman UniToktom" w:hAnsi="Times New Roman UniToktom" w:cs="Times New Roman UniToktom"/>
                <w:sz w:val="24"/>
                <w:lang w:val="ky-KG"/>
              </w:rPr>
              <w:t>1 256,5</w:t>
            </w:r>
            <w:r w:rsidRPr="00C44EE6">
              <w:rPr>
                <w:rFonts w:ascii="Times New Roman UniToktom" w:hAnsi="Times New Roman UniToktom" w:cs="Times New Roman UniToktom"/>
                <w:sz w:val="24"/>
                <w:lang w:val="ky-KG"/>
              </w:rPr>
              <w:t xml:space="preserve"> млн. сом) жана Ноокен районунун  ишканалары – </w:t>
            </w:r>
            <w:r w:rsidR="00B67E94" w:rsidRPr="00C44EE6">
              <w:rPr>
                <w:rFonts w:ascii="Times New Roman UniToktom" w:hAnsi="Times New Roman UniToktom" w:cs="Times New Roman UniToktom"/>
                <w:sz w:val="24"/>
                <w:lang w:val="ky-KG"/>
              </w:rPr>
              <w:t>9,8</w:t>
            </w:r>
            <w:r w:rsidRPr="00C44EE6">
              <w:rPr>
                <w:rFonts w:ascii="Times New Roman UniToktom" w:hAnsi="Times New Roman UniToktom" w:cs="Times New Roman UniToktom"/>
                <w:sz w:val="24"/>
                <w:lang w:val="ky-KG"/>
              </w:rPr>
              <w:t xml:space="preserve"> пайызды (-</w:t>
            </w:r>
            <w:r w:rsidR="00B67E94" w:rsidRPr="00C44EE6">
              <w:rPr>
                <w:rFonts w:ascii="Times New Roman UniToktom" w:hAnsi="Times New Roman UniToktom" w:cs="Times New Roman UniToktom"/>
                <w:sz w:val="24"/>
                <w:lang w:val="ky-KG"/>
              </w:rPr>
              <w:t>269,4</w:t>
            </w:r>
            <w:r w:rsidRPr="00C44EE6">
              <w:rPr>
                <w:rFonts w:ascii="Times New Roman UniToktom" w:hAnsi="Times New Roman UniToktom" w:cs="Times New Roman UniToktom"/>
                <w:sz w:val="24"/>
                <w:lang w:val="ky-KG"/>
              </w:rPr>
              <w:t xml:space="preserve"> млн. сом) түздү.</w:t>
            </w:r>
          </w:p>
        </w:tc>
        <w:tc>
          <w:tcPr>
            <w:tcW w:w="4820" w:type="dxa"/>
          </w:tcPr>
          <w:p w14:paraId="7E309CDC" w14:textId="6589E3C1" w:rsidR="00656550" w:rsidRPr="00C44EE6" w:rsidRDefault="00656550" w:rsidP="00FF3C2B">
            <w:pPr>
              <w:pStyle w:val="24"/>
              <w:jc w:val="both"/>
              <w:rPr>
                <w:rFonts w:ascii="Times New Roman UniToktom" w:hAnsi="Times New Roman UniToktom" w:cs="Times New Roman UniToktom"/>
                <w:i/>
                <w:sz w:val="24"/>
              </w:rPr>
            </w:pPr>
            <w:r w:rsidRPr="00C44EE6">
              <w:rPr>
                <w:rFonts w:ascii="Times New Roman UniToktom" w:hAnsi="Times New Roman UniToktom" w:cs="Times New Roman UniToktom"/>
                <w:i/>
                <w:sz w:val="24"/>
                <w:lang w:val="ky-KG"/>
              </w:rPr>
              <w:t xml:space="preserve">     </w:t>
            </w:r>
            <w:r w:rsidRPr="00C44EE6">
              <w:rPr>
                <w:rFonts w:ascii="Times New Roman UniToktom" w:hAnsi="Times New Roman UniToktom" w:cs="Times New Roman UniToktom"/>
                <w:i/>
                <w:sz w:val="24"/>
              </w:rPr>
              <w:t xml:space="preserve">Наибольшие суммы убытков получены предприятиями </w:t>
            </w:r>
            <w:r w:rsidRPr="00C44EE6">
              <w:rPr>
                <w:rFonts w:ascii="Times New Roman UniToktom" w:hAnsi="Times New Roman UniToktom" w:cs="Times New Roman UniToktom"/>
                <w:i/>
                <w:sz w:val="24"/>
                <w:lang w:val="ky-KG"/>
              </w:rPr>
              <w:t>Чаткаль</w:t>
            </w:r>
            <w:proofErr w:type="spellStart"/>
            <w:r w:rsidRPr="00C44EE6">
              <w:rPr>
                <w:rFonts w:ascii="Times New Roman UniToktom" w:hAnsi="Times New Roman UniToktom" w:cs="Times New Roman UniToktom"/>
                <w:i/>
                <w:sz w:val="24"/>
              </w:rPr>
              <w:t>ского</w:t>
            </w:r>
            <w:proofErr w:type="spellEnd"/>
            <w:r w:rsidRPr="00C44EE6">
              <w:rPr>
                <w:rFonts w:ascii="Times New Roman UniToktom" w:hAnsi="Times New Roman UniToktom" w:cs="Times New Roman UniToktom"/>
                <w:i/>
                <w:sz w:val="24"/>
              </w:rPr>
              <w:t xml:space="preserve"> района – </w:t>
            </w:r>
            <w:r w:rsidR="00B67E94" w:rsidRPr="00C44EE6">
              <w:rPr>
                <w:rFonts w:ascii="Times New Roman UniToktom" w:hAnsi="Times New Roman UniToktom" w:cs="Times New Roman UniToktom"/>
                <w:i/>
                <w:sz w:val="24"/>
              </w:rPr>
              <w:t>46,0</w:t>
            </w:r>
            <w:r w:rsidRPr="00C44EE6">
              <w:rPr>
                <w:rFonts w:ascii="Times New Roman UniToktom" w:hAnsi="Times New Roman UniToktom" w:cs="Times New Roman UniToktom"/>
                <w:i/>
                <w:sz w:val="24"/>
              </w:rPr>
              <w:t xml:space="preserve"> процента (</w:t>
            </w:r>
            <w:r w:rsidR="00B67E94" w:rsidRPr="00C44EE6">
              <w:rPr>
                <w:rFonts w:ascii="Times New Roman UniToktom" w:hAnsi="Times New Roman UniToktom" w:cs="Times New Roman UniToktom"/>
                <w:i/>
                <w:sz w:val="24"/>
              </w:rPr>
              <w:t>1 256,5</w:t>
            </w:r>
            <w:r w:rsidRPr="00C44EE6">
              <w:rPr>
                <w:rFonts w:ascii="Times New Roman UniToktom" w:hAnsi="Times New Roman UniToktom" w:cs="Times New Roman UniToktom"/>
                <w:i/>
                <w:sz w:val="24"/>
                <w:lang w:val="ky-KG"/>
              </w:rPr>
              <w:t xml:space="preserve"> млн</w:t>
            </w:r>
            <w:r w:rsidRPr="00C44EE6">
              <w:rPr>
                <w:rFonts w:ascii="Times New Roman UniToktom" w:hAnsi="Times New Roman UniToktom" w:cs="Times New Roman UniToktom"/>
                <w:i/>
                <w:sz w:val="24"/>
              </w:rPr>
              <w:t>. сом)</w:t>
            </w:r>
            <w:r w:rsidRPr="00C44EE6">
              <w:rPr>
                <w:rFonts w:ascii="Times New Roman UniToktom" w:hAnsi="Times New Roman UniToktom" w:cs="Times New Roman UniToktom"/>
                <w:i/>
                <w:sz w:val="24"/>
                <w:lang w:val="ky-KG"/>
              </w:rPr>
              <w:t xml:space="preserve"> </w:t>
            </w:r>
            <w:proofErr w:type="gramStart"/>
            <w:r w:rsidRPr="00C44EE6">
              <w:rPr>
                <w:rFonts w:ascii="Times New Roman UniToktom" w:hAnsi="Times New Roman UniToktom" w:cs="Times New Roman UniToktom"/>
                <w:i/>
                <w:sz w:val="24"/>
                <w:lang w:val="ky-KG"/>
              </w:rPr>
              <w:t>и  Ноокенс</w:t>
            </w:r>
            <w:r w:rsidRPr="00C44EE6">
              <w:rPr>
                <w:rFonts w:ascii="Times New Roman UniToktom" w:hAnsi="Times New Roman UniToktom" w:cs="Times New Roman UniToktom"/>
                <w:i/>
                <w:sz w:val="24"/>
              </w:rPr>
              <w:t>кого</w:t>
            </w:r>
            <w:proofErr w:type="gramEnd"/>
            <w:r w:rsidRPr="00C44EE6">
              <w:rPr>
                <w:rFonts w:ascii="Times New Roman UniToktom" w:hAnsi="Times New Roman UniToktom" w:cs="Times New Roman UniToktom"/>
                <w:i/>
                <w:sz w:val="24"/>
              </w:rPr>
              <w:t xml:space="preserve"> района – </w:t>
            </w:r>
            <w:r w:rsidR="00B67E94" w:rsidRPr="00C44EE6">
              <w:rPr>
                <w:rFonts w:ascii="Times New Roman UniToktom" w:hAnsi="Times New Roman UniToktom" w:cs="Times New Roman UniToktom"/>
                <w:i/>
                <w:sz w:val="24"/>
              </w:rPr>
              <w:t>9,</w:t>
            </w:r>
            <w:proofErr w:type="gramStart"/>
            <w:r w:rsidR="00B67E94" w:rsidRPr="00C44EE6">
              <w:rPr>
                <w:rFonts w:ascii="Times New Roman UniToktom" w:hAnsi="Times New Roman UniToktom" w:cs="Times New Roman UniToktom"/>
                <w:i/>
                <w:sz w:val="24"/>
              </w:rPr>
              <w:t xml:space="preserve">8 </w:t>
            </w:r>
            <w:r w:rsidRPr="00C44EE6">
              <w:rPr>
                <w:rFonts w:ascii="Times New Roman UniToktom" w:hAnsi="Times New Roman UniToktom" w:cs="Times New Roman UniToktom"/>
                <w:i/>
                <w:sz w:val="24"/>
              </w:rPr>
              <w:t xml:space="preserve"> процента</w:t>
            </w:r>
            <w:proofErr w:type="gramEnd"/>
            <w:r w:rsidRPr="00C44EE6">
              <w:rPr>
                <w:rFonts w:ascii="Times New Roman UniToktom" w:hAnsi="Times New Roman UniToktom" w:cs="Times New Roman UniToktom"/>
                <w:i/>
                <w:sz w:val="24"/>
              </w:rPr>
              <w:t xml:space="preserve"> (</w:t>
            </w:r>
            <w:r w:rsidR="00B67E94" w:rsidRPr="00C44EE6">
              <w:rPr>
                <w:rFonts w:ascii="Times New Roman UniToktom" w:hAnsi="Times New Roman UniToktom" w:cs="Times New Roman UniToktom"/>
                <w:i/>
                <w:sz w:val="24"/>
              </w:rPr>
              <w:t>-269,4</w:t>
            </w:r>
            <w:r w:rsidRPr="00C44EE6">
              <w:rPr>
                <w:rFonts w:ascii="Times New Roman UniToktom" w:hAnsi="Times New Roman UniToktom" w:cs="Times New Roman UniToktom"/>
                <w:i/>
                <w:sz w:val="24"/>
                <w:lang w:val="ky-KG"/>
              </w:rPr>
              <w:t xml:space="preserve"> млн</w:t>
            </w:r>
            <w:r w:rsidRPr="00C44EE6">
              <w:rPr>
                <w:rFonts w:ascii="Times New Roman UniToktom" w:hAnsi="Times New Roman UniToktom" w:cs="Times New Roman UniToktom"/>
                <w:i/>
                <w:sz w:val="24"/>
              </w:rPr>
              <w:t>. сом).</w:t>
            </w:r>
          </w:p>
        </w:tc>
      </w:tr>
    </w:tbl>
    <w:p w14:paraId="2A698019" w14:textId="77777777" w:rsidR="00656550" w:rsidRPr="00C44EE6" w:rsidRDefault="00656550" w:rsidP="00656550">
      <w:pPr>
        <w:jc w:val="both"/>
        <w:rPr>
          <w:b/>
          <w:bCs/>
          <w:lang w:val="ky-KG"/>
        </w:rPr>
      </w:pPr>
    </w:p>
    <w:p w14:paraId="2C640D75" w14:textId="77777777" w:rsidR="00656550" w:rsidRPr="00C44EE6" w:rsidRDefault="00656550" w:rsidP="00656550">
      <w:pPr>
        <w:jc w:val="both"/>
        <w:rPr>
          <w:b/>
          <w:bCs/>
          <w:lang w:val="ky-KG"/>
        </w:rPr>
      </w:pPr>
    </w:p>
    <w:p w14:paraId="15651B32" w14:textId="77777777" w:rsidR="00656550" w:rsidRPr="00C44EE6" w:rsidRDefault="00656550" w:rsidP="00656550">
      <w:pPr>
        <w:jc w:val="both"/>
        <w:rPr>
          <w:b/>
          <w:bCs/>
          <w:lang w:val="ky-KG"/>
        </w:rPr>
      </w:pPr>
    </w:p>
    <w:p w14:paraId="62D110E6" w14:textId="77777777" w:rsidR="00656550" w:rsidRPr="00C44EE6" w:rsidRDefault="00656550" w:rsidP="00656550">
      <w:pPr>
        <w:jc w:val="both"/>
        <w:rPr>
          <w:b/>
          <w:bCs/>
          <w:lang w:val="ky-KG"/>
        </w:rPr>
      </w:pPr>
    </w:p>
    <w:p w14:paraId="09822931" w14:textId="77777777" w:rsidR="00656550" w:rsidRPr="00C44EE6" w:rsidRDefault="00656550" w:rsidP="00656550">
      <w:pPr>
        <w:jc w:val="both"/>
        <w:rPr>
          <w:b/>
          <w:bCs/>
          <w:lang w:val="ky-KG"/>
        </w:rPr>
      </w:pPr>
    </w:p>
    <w:tbl>
      <w:tblPr>
        <w:tblW w:w="9639" w:type="dxa"/>
        <w:tblInd w:w="108" w:type="dxa"/>
        <w:tblLook w:val="04A0" w:firstRow="1" w:lastRow="0" w:firstColumn="1" w:lastColumn="0" w:noHBand="0" w:noVBand="1"/>
      </w:tblPr>
      <w:tblGrid>
        <w:gridCol w:w="4819"/>
        <w:gridCol w:w="4820"/>
      </w:tblGrid>
      <w:tr w:rsidR="00C44EE6" w:rsidRPr="00C44EE6" w14:paraId="490E5FA9" w14:textId="77777777" w:rsidTr="00FF3C2B">
        <w:tc>
          <w:tcPr>
            <w:tcW w:w="4819" w:type="dxa"/>
          </w:tcPr>
          <w:p w14:paraId="6172E3E9" w14:textId="77777777" w:rsidR="00656550" w:rsidRPr="00C44EE6" w:rsidRDefault="00656550" w:rsidP="00FF3C2B">
            <w:pPr>
              <w:jc w:val="center"/>
              <w:rPr>
                <w:sz w:val="24"/>
              </w:rPr>
            </w:pPr>
            <w:proofErr w:type="spellStart"/>
            <w:r w:rsidRPr="00C44EE6">
              <w:rPr>
                <w:b/>
                <w:sz w:val="24"/>
              </w:rPr>
              <w:t>Облустун</w:t>
            </w:r>
            <w:proofErr w:type="spellEnd"/>
            <w:r w:rsidRPr="00C44EE6">
              <w:rPr>
                <w:b/>
                <w:sz w:val="24"/>
              </w:rPr>
              <w:t xml:space="preserve"> </w:t>
            </w:r>
            <w:proofErr w:type="spellStart"/>
            <w:r w:rsidRPr="00C44EE6">
              <w:rPr>
                <w:b/>
                <w:sz w:val="24"/>
              </w:rPr>
              <w:t>реалдуу</w:t>
            </w:r>
            <w:proofErr w:type="spellEnd"/>
            <w:r w:rsidRPr="00C44EE6">
              <w:rPr>
                <w:b/>
                <w:sz w:val="24"/>
              </w:rPr>
              <w:t xml:space="preserve"> </w:t>
            </w:r>
            <w:proofErr w:type="spellStart"/>
            <w:r w:rsidRPr="00C44EE6">
              <w:rPr>
                <w:b/>
                <w:sz w:val="24"/>
              </w:rPr>
              <w:t>секторунун</w:t>
            </w:r>
            <w:proofErr w:type="spellEnd"/>
            <w:r w:rsidRPr="00C44EE6">
              <w:rPr>
                <w:b/>
                <w:sz w:val="24"/>
              </w:rPr>
              <w:t xml:space="preserve"> </w:t>
            </w:r>
            <w:proofErr w:type="spellStart"/>
            <w:r w:rsidRPr="00C44EE6">
              <w:rPr>
                <w:b/>
                <w:sz w:val="24"/>
              </w:rPr>
              <w:t>ишканаларынын</w:t>
            </w:r>
            <w:proofErr w:type="spellEnd"/>
            <w:r w:rsidRPr="00C44EE6">
              <w:rPr>
                <w:b/>
                <w:sz w:val="24"/>
              </w:rPr>
              <w:t xml:space="preserve"> саны</w:t>
            </w:r>
          </w:p>
        </w:tc>
        <w:tc>
          <w:tcPr>
            <w:tcW w:w="4820" w:type="dxa"/>
          </w:tcPr>
          <w:p w14:paraId="0F9E5ACF" w14:textId="77777777" w:rsidR="00656550" w:rsidRPr="00C44EE6" w:rsidRDefault="00656550" w:rsidP="00FF3C2B">
            <w:pPr>
              <w:jc w:val="center"/>
              <w:rPr>
                <w:i/>
                <w:sz w:val="24"/>
              </w:rPr>
            </w:pPr>
            <w:r w:rsidRPr="00C44EE6">
              <w:rPr>
                <w:b/>
                <w:i/>
                <w:sz w:val="24"/>
              </w:rPr>
              <w:t>Количество предприятий реального сектора области</w:t>
            </w:r>
          </w:p>
        </w:tc>
      </w:tr>
      <w:tr w:rsidR="00C44EE6" w:rsidRPr="00C44EE6" w14:paraId="2A916B2D" w14:textId="77777777" w:rsidTr="00FF3C2B">
        <w:tc>
          <w:tcPr>
            <w:tcW w:w="4819" w:type="dxa"/>
          </w:tcPr>
          <w:p w14:paraId="4778B388" w14:textId="77777777" w:rsidR="00656550" w:rsidRPr="00C44EE6" w:rsidRDefault="00656550" w:rsidP="00FF3C2B">
            <w:pPr>
              <w:jc w:val="center"/>
              <w:rPr>
                <w:sz w:val="24"/>
              </w:rPr>
            </w:pPr>
            <w:r w:rsidRPr="00C44EE6">
              <w:rPr>
                <w:sz w:val="24"/>
              </w:rPr>
              <w:t>(</w:t>
            </w:r>
            <w:proofErr w:type="spellStart"/>
            <w:r w:rsidRPr="00C44EE6">
              <w:rPr>
                <w:sz w:val="24"/>
              </w:rPr>
              <w:t>бирдик</w:t>
            </w:r>
            <w:proofErr w:type="spellEnd"/>
            <w:r w:rsidRPr="00C44EE6">
              <w:rPr>
                <w:sz w:val="24"/>
              </w:rPr>
              <w:t>)</w:t>
            </w:r>
          </w:p>
        </w:tc>
        <w:tc>
          <w:tcPr>
            <w:tcW w:w="4820" w:type="dxa"/>
          </w:tcPr>
          <w:p w14:paraId="7C8C39C6" w14:textId="77777777" w:rsidR="00656550" w:rsidRPr="00C44EE6" w:rsidRDefault="00656550" w:rsidP="00FF3C2B">
            <w:pPr>
              <w:jc w:val="center"/>
              <w:rPr>
                <w:i/>
                <w:sz w:val="24"/>
              </w:rPr>
            </w:pPr>
            <w:r w:rsidRPr="00C44EE6">
              <w:rPr>
                <w:i/>
                <w:sz w:val="24"/>
              </w:rPr>
              <w:t>(единиц)</w:t>
            </w:r>
          </w:p>
        </w:tc>
      </w:tr>
    </w:tbl>
    <w:p w14:paraId="27C955C5" w14:textId="77777777" w:rsidR="00656550" w:rsidRPr="00C44EE6" w:rsidRDefault="00656550" w:rsidP="00656550">
      <w:pPr>
        <w:jc w:val="both"/>
        <w:rPr>
          <w:b/>
          <w:sz w:val="24"/>
        </w:rPr>
      </w:pPr>
      <w:bookmarkStart w:id="1" w:name="_MON_1643106053"/>
      <w:bookmarkEnd w:id="1"/>
      <w:r w:rsidRPr="00C44EE6">
        <w:rPr>
          <w:b/>
          <w:noProof/>
          <w:sz w:val="24"/>
        </w:rPr>
        <w:drawing>
          <wp:inline distT="0" distB="0" distL="0" distR="0" wp14:anchorId="56D9F137" wp14:editId="3BE03A29">
            <wp:extent cx="6170930" cy="3616960"/>
            <wp:effectExtent l="0" t="0" r="1270" b="2540"/>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1EC37C9" w14:textId="77777777" w:rsidR="00656550" w:rsidRPr="00C44EE6" w:rsidRDefault="00656550" w:rsidP="00656550">
      <w:pPr>
        <w:rPr>
          <w:lang w:val="ky-KG"/>
        </w:rPr>
      </w:pPr>
    </w:p>
    <w:p w14:paraId="0E251654" w14:textId="77777777" w:rsidR="00656550" w:rsidRPr="00C44EE6" w:rsidRDefault="00656550" w:rsidP="00656550">
      <w:pPr>
        <w:rPr>
          <w:lang w:val="ky-KG"/>
        </w:rPr>
      </w:pPr>
    </w:p>
    <w:p w14:paraId="3FD6552E" w14:textId="77777777" w:rsidR="00656550" w:rsidRPr="00C44EE6" w:rsidRDefault="00656550" w:rsidP="00656550">
      <w:pPr>
        <w:rPr>
          <w:lang w:val="ky-KG"/>
        </w:rPr>
      </w:pPr>
    </w:p>
    <w:tbl>
      <w:tblPr>
        <w:tblW w:w="9639" w:type="dxa"/>
        <w:tblInd w:w="108" w:type="dxa"/>
        <w:tblLook w:val="04A0" w:firstRow="1" w:lastRow="0" w:firstColumn="1" w:lastColumn="0" w:noHBand="0" w:noVBand="1"/>
      </w:tblPr>
      <w:tblGrid>
        <w:gridCol w:w="4831"/>
        <w:gridCol w:w="4808"/>
      </w:tblGrid>
      <w:tr w:rsidR="00656550" w:rsidRPr="00C44EE6" w14:paraId="068D22B1" w14:textId="77777777" w:rsidTr="00FF3C2B">
        <w:tc>
          <w:tcPr>
            <w:tcW w:w="4831" w:type="dxa"/>
          </w:tcPr>
          <w:p w14:paraId="1C8E9630" w14:textId="6CD4C122" w:rsidR="00656550" w:rsidRPr="00C44EE6" w:rsidRDefault="00656550" w:rsidP="00FF3C2B">
            <w:pPr>
              <w:pStyle w:val="24"/>
              <w:jc w:val="center"/>
              <w:rPr>
                <w:rFonts w:ascii="Times New Roman UniToktom" w:hAnsi="Times New Roman UniToktom" w:cs="Times New Roman UniToktom"/>
                <w:b/>
                <w:sz w:val="24"/>
                <w:lang w:val="ky-KG"/>
              </w:rPr>
            </w:pPr>
            <w:r w:rsidRPr="00C44EE6">
              <w:rPr>
                <w:rFonts w:ascii="Times New Roman UniToktom" w:hAnsi="Times New Roman UniToktom" w:cs="Times New Roman UniToktom"/>
                <w:b/>
                <w:sz w:val="24"/>
                <w:lang w:val="ky-KG"/>
              </w:rPr>
              <w:t>202</w:t>
            </w:r>
            <w:r w:rsidR="008F416E" w:rsidRPr="00C44EE6">
              <w:rPr>
                <w:rFonts w:ascii="Times New Roman UniToktom" w:hAnsi="Times New Roman UniToktom" w:cs="Times New Roman UniToktom"/>
                <w:b/>
                <w:sz w:val="24"/>
                <w:lang w:val="ky-KG"/>
              </w:rPr>
              <w:t>4</w:t>
            </w:r>
            <w:r w:rsidRPr="00C44EE6">
              <w:rPr>
                <w:rFonts w:ascii="Times New Roman UniToktom" w:hAnsi="Times New Roman UniToktom" w:cs="Times New Roman UniToktom"/>
                <w:b/>
                <w:sz w:val="24"/>
                <w:lang w:val="ky-KG"/>
              </w:rPr>
              <w:t xml:space="preserve">-жылы аймактар боюнча облустун реалдуу секторунун ишканаларынын ишмердиктеринин финансылык жыйынтыгы    </w:t>
            </w:r>
          </w:p>
          <w:p w14:paraId="25246610" w14:textId="77777777" w:rsidR="00656550" w:rsidRPr="00C44EE6" w:rsidRDefault="00656550" w:rsidP="00FF3C2B">
            <w:pPr>
              <w:pStyle w:val="24"/>
              <w:jc w:val="center"/>
              <w:rPr>
                <w:rFonts w:ascii="Times New Roman UniToktom" w:hAnsi="Times New Roman UniToktom" w:cs="Times New Roman UniToktom"/>
                <w:sz w:val="24"/>
                <w:lang w:val="ky-KG"/>
              </w:rPr>
            </w:pPr>
            <w:r w:rsidRPr="00C44EE6">
              <w:rPr>
                <w:rFonts w:ascii="Times New Roman UniToktom" w:hAnsi="Times New Roman UniToktom" w:cs="Times New Roman UniToktom"/>
                <w:sz w:val="24"/>
                <w:szCs w:val="24"/>
                <w:lang w:val="ky-KG"/>
              </w:rPr>
              <w:t>(млн. сом)</w:t>
            </w:r>
          </w:p>
        </w:tc>
        <w:tc>
          <w:tcPr>
            <w:tcW w:w="4808" w:type="dxa"/>
          </w:tcPr>
          <w:p w14:paraId="006C3741" w14:textId="210D4588" w:rsidR="00656550" w:rsidRPr="00C44EE6" w:rsidRDefault="00656550" w:rsidP="00FF3C2B">
            <w:pPr>
              <w:pStyle w:val="24"/>
              <w:jc w:val="center"/>
              <w:rPr>
                <w:rFonts w:ascii="Times New Roman UniToktom" w:hAnsi="Times New Roman UniToktom" w:cs="Times New Roman UniToktom"/>
                <w:i/>
                <w:sz w:val="24"/>
                <w:lang w:val="ky-KG"/>
              </w:rPr>
            </w:pPr>
            <w:r w:rsidRPr="00C44EE6">
              <w:rPr>
                <w:rFonts w:ascii="Times New Roman UniToktom" w:hAnsi="Times New Roman UniToktom" w:cs="Times New Roman UniToktom"/>
                <w:b/>
                <w:i/>
                <w:sz w:val="24"/>
              </w:rPr>
              <w:t xml:space="preserve">Финансовый результат деятельности предприятий </w:t>
            </w:r>
            <w:r w:rsidRPr="00C44EE6">
              <w:rPr>
                <w:rFonts w:ascii="Times New Roman UniToktom" w:hAnsi="Times New Roman UniToktom" w:cs="Times New Roman UniToktom"/>
                <w:b/>
                <w:i/>
                <w:sz w:val="24"/>
                <w:lang w:val="ky-KG"/>
              </w:rPr>
              <w:t xml:space="preserve">реального сектора области </w:t>
            </w:r>
            <w:r w:rsidRPr="00C44EE6">
              <w:rPr>
                <w:rFonts w:ascii="Times New Roman UniToktom" w:hAnsi="Times New Roman UniToktom" w:cs="Times New Roman UniToktom"/>
                <w:b/>
                <w:i/>
                <w:sz w:val="24"/>
              </w:rPr>
              <w:t xml:space="preserve">по </w:t>
            </w:r>
            <w:r w:rsidRPr="00C44EE6">
              <w:rPr>
                <w:rFonts w:ascii="Times New Roman UniToktom" w:hAnsi="Times New Roman UniToktom" w:cs="Times New Roman UniToktom"/>
                <w:b/>
                <w:i/>
                <w:sz w:val="24"/>
                <w:lang w:val="ky-KG"/>
              </w:rPr>
              <w:t>территории в</w:t>
            </w:r>
            <w:r w:rsidRPr="00C44EE6">
              <w:rPr>
                <w:rFonts w:ascii="Times New Roman UniToktom" w:hAnsi="Times New Roman UniToktom" w:cs="Times New Roman UniToktom"/>
                <w:b/>
                <w:i/>
                <w:sz w:val="24"/>
              </w:rPr>
              <w:t xml:space="preserve"> 20</w:t>
            </w:r>
            <w:r w:rsidRPr="00C44EE6">
              <w:rPr>
                <w:rFonts w:ascii="Times New Roman UniToktom" w:hAnsi="Times New Roman UniToktom" w:cs="Times New Roman UniToktom"/>
                <w:b/>
                <w:i/>
                <w:sz w:val="24"/>
                <w:lang w:val="ky-KG"/>
              </w:rPr>
              <w:t>2</w:t>
            </w:r>
            <w:r w:rsidR="008F416E" w:rsidRPr="00C44EE6">
              <w:rPr>
                <w:rFonts w:ascii="Times New Roman UniToktom" w:hAnsi="Times New Roman UniToktom" w:cs="Times New Roman UniToktom"/>
                <w:b/>
                <w:i/>
                <w:sz w:val="24"/>
                <w:lang w:val="ky-KG"/>
              </w:rPr>
              <w:t>4</w:t>
            </w:r>
            <w:r w:rsidRPr="00C44EE6">
              <w:rPr>
                <w:rFonts w:ascii="Times New Roman UniToktom" w:hAnsi="Times New Roman UniToktom" w:cs="Times New Roman UniToktom"/>
                <w:b/>
                <w:i/>
                <w:sz w:val="24"/>
              </w:rPr>
              <w:t xml:space="preserve"> год</w:t>
            </w:r>
            <w:r w:rsidRPr="00C44EE6">
              <w:rPr>
                <w:rFonts w:ascii="Times New Roman UniToktom" w:hAnsi="Times New Roman UniToktom" w:cs="Times New Roman UniToktom"/>
                <w:b/>
                <w:i/>
                <w:sz w:val="24"/>
                <w:lang w:val="ky-KG"/>
              </w:rPr>
              <w:t>у</w:t>
            </w:r>
          </w:p>
          <w:p w14:paraId="52905802" w14:textId="77777777" w:rsidR="00656550" w:rsidRPr="00C44EE6" w:rsidRDefault="00656550" w:rsidP="00FF3C2B">
            <w:pPr>
              <w:pStyle w:val="24"/>
              <w:jc w:val="center"/>
              <w:rPr>
                <w:rFonts w:ascii="Times New Roman UniToktom" w:hAnsi="Times New Roman UniToktom" w:cs="Times New Roman UniToktom"/>
                <w:i/>
                <w:sz w:val="24"/>
                <w:szCs w:val="24"/>
                <w:lang w:val="ky-KG"/>
              </w:rPr>
            </w:pPr>
            <w:r w:rsidRPr="00C44EE6">
              <w:rPr>
                <w:rFonts w:ascii="Times New Roman UniToktom" w:hAnsi="Times New Roman UniToktom" w:cs="Times New Roman UniToktom"/>
                <w:i/>
                <w:sz w:val="24"/>
                <w:szCs w:val="24"/>
                <w:lang w:val="ky-KG"/>
              </w:rPr>
              <w:t>(млн. сомов)</w:t>
            </w:r>
          </w:p>
        </w:tc>
      </w:tr>
    </w:tbl>
    <w:p w14:paraId="6F7896B2" w14:textId="77777777" w:rsidR="00656550" w:rsidRPr="00C44EE6" w:rsidRDefault="00656550" w:rsidP="00656550">
      <w:pPr>
        <w:pStyle w:val="24"/>
        <w:jc w:val="both"/>
        <w:rPr>
          <w:rFonts w:ascii="Times New Roman UniToktom" w:hAnsi="Times New Roman UniToktom" w:cs="Times New Roman UniToktom"/>
          <w:sz w:val="16"/>
          <w:szCs w:val="16"/>
          <w:lang w:val="ky-KG"/>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4"/>
        <w:gridCol w:w="959"/>
        <w:gridCol w:w="1167"/>
        <w:gridCol w:w="959"/>
        <w:gridCol w:w="1134"/>
        <w:gridCol w:w="992"/>
        <w:gridCol w:w="1134"/>
        <w:gridCol w:w="1560"/>
        <w:gridCol w:w="34"/>
      </w:tblGrid>
      <w:tr w:rsidR="00C44EE6" w:rsidRPr="00C44EE6" w14:paraId="57FA2E61" w14:textId="77777777" w:rsidTr="00372228">
        <w:trPr>
          <w:cantSplit/>
        </w:trPr>
        <w:tc>
          <w:tcPr>
            <w:tcW w:w="1734" w:type="dxa"/>
            <w:vMerge w:val="restart"/>
            <w:tcBorders>
              <w:top w:val="single" w:sz="12" w:space="0" w:color="auto"/>
              <w:left w:val="nil"/>
              <w:bottom w:val="single" w:sz="12" w:space="0" w:color="auto"/>
              <w:right w:val="nil"/>
            </w:tcBorders>
            <w:vAlign w:val="center"/>
          </w:tcPr>
          <w:p w14:paraId="003A25ED" w14:textId="77777777" w:rsidR="00656550" w:rsidRPr="00C44EE6" w:rsidRDefault="00656550" w:rsidP="00FF3C2B">
            <w:pPr>
              <w:pStyle w:val="24"/>
              <w:jc w:val="center"/>
              <w:rPr>
                <w:rFonts w:ascii="Times New Roman UniToktom" w:hAnsi="Times New Roman UniToktom" w:cs="Times New Roman UniToktom"/>
                <w:sz w:val="18"/>
                <w:szCs w:val="18"/>
                <w:lang w:val="ky-KG"/>
              </w:rPr>
            </w:pPr>
          </w:p>
        </w:tc>
        <w:tc>
          <w:tcPr>
            <w:tcW w:w="959" w:type="dxa"/>
            <w:vMerge w:val="restart"/>
            <w:tcBorders>
              <w:top w:val="single" w:sz="12" w:space="0" w:color="auto"/>
              <w:left w:val="nil"/>
              <w:bottom w:val="single" w:sz="12" w:space="0" w:color="auto"/>
              <w:right w:val="nil"/>
            </w:tcBorders>
            <w:vAlign w:val="center"/>
          </w:tcPr>
          <w:p w14:paraId="51CDA0EE" w14:textId="77777777" w:rsidR="00656550" w:rsidRPr="00C44EE6" w:rsidRDefault="00656550" w:rsidP="00FF3C2B">
            <w:pPr>
              <w:pStyle w:val="24"/>
              <w:jc w:val="center"/>
              <w:rPr>
                <w:b/>
                <w:sz w:val="18"/>
                <w:szCs w:val="18"/>
                <w:lang w:val="ky-KG"/>
              </w:rPr>
            </w:pPr>
            <w:r w:rsidRPr="00C44EE6">
              <w:rPr>
                <w:b/>
                <w:sz w:val="18"/>
                <w:szCs w:val="18"/>
                <w:lang w:val="ky-KG"/>
              </w:rPr>
              <w:t>Ишканалардын саны, бирдик</w:t>
            </w:r>
          </w:p>
          <w:p w14:paraId="58A3AE44" w14:textId="77777777" w:rsidR="00656550" w:rsidRPr="00C44EE6" w:rsidRDefault="00656550" w:rsidP="00FF3C2B">
            <w:pPr>
              <w:pStyle w:val="24"/>
              <w:jc w:val="center"/>
              <w:rPr>
                <w:rFonts w:ascii="Times New Roman UniToktom" w:hAnsi="Times New Roman UniToktom" w:cs="Times New Roman UniToktom"/>
                <w:i/>
                <w:sz w:val="18"/>
                <w:szCs w:val="18"/>
                <w:lang w:val="ky-KG"/>
              </w:rPr>
            </w:pPr>
            <w:r w:rsidRPr="00C44EE6">
              <w:rPr>
                <w:b/>
                <w:i/>
                <w:sz w:val="18"/>
                <w:szCs w:val="18"/>
              </w:rPr>
              <w:t>Количество предприятий, единиц</w:t>
            </w:r>
          </w:p>
        </w:tc>
        <w:tc>
          <w:tcPr>
            <w:tcW w:w="1167" w:type="dxa"/>
            <w:vMerge w:val="restart"/>
            <w:tcBorders>
              <w:top w:val="single" w:sz="12" w:space="0" w:color="auto"/>
              <w:left w:val="nil"/>
              <w:bottom w:val="single" w:sz="12" w:space="0" w:color="auto"/>
              <w:right w:val="nil"/>
            </w:tcBorders>
            <w:vAlign w:val="center"/>
          </w:tcPr>
          <w:p w14:paraId="1A614CD5" w14:textId="77777777" w:rsidR="00656550" w:rsidRPr="00C44EE6" w:rsidRDefault="00656550" w:rsidP="00FF3C2B">
            <w:pPr>
              <w:pStyle w:val="24"/>
              <w:jc w:val="center"/>
              <w:rPr>
                <w:b/>
                <w:sz w:val="18"/>
                <w:szCs w:val="18"/>
                <w:lang w:val="ky-KG"/>
              </w:rPr>
            </w:pPr>
            <w:r w:rsidRPr="00C44EE6">
              <w:rPr>
                <w:b/>
                <w:sz w:val="18"/>
                <w:szCs w:val="18"/>
                <w:lang w:val="ky-KG"/>
              </w:rPr>
              <w:t>Сальдолоштурулган финансылык жыйынтык (пайдадан чыгаша кемитилет)</w:t>
            </w:r>
          </w:p>
          <w:p w14:paraId="21CD50F6" w14:textId="77777777" w:rsidR="00656550" w:rsidRPr="00C44EE6" w:rsidRDefault="00656550" w:rsidP="00FF3C2B">
            <w:pPr>
              <w:pStyle w:val="24"/>
              <w:jc w:val="center"/>
              <w:rPr>
                <w:b/>
                <w:i/>
                <w:sz w:val="18"/>
                <w:szCs w:val="18"/>
              </w:rPr>
            </w:pPr>
            <w:r w:rsidRPr="00C44EE6">
              <w:rPr>
                <w:b/>
                <w:i/>
                <w:sz w:val="18"/>
                <w:szCs w:val="18"/>
              </w:rPr>
              <w:t>Сальдированный финансовый результат</w:t>
            </w:r>
          </w:p>
          <w:p w14:paraId="5CA7AF14" w14:textId="77777777" w:rsidR="00656550" w:rsidRPr="00C44EE6" w:rsidRDefault="00656550" w:rsidP="00FF3C2B">
            <w:pPr>
              <w:pStyle w:val="24"/>
              <w:jc w:val="center"/>
              <w:rPr>
                <w:rFonts w:ascii="Times New Roman UniToktom" w:hAnsi="Times New Roman UniToktom" w:cs="Times New Roman UniToktom"/>
                <w:sz w:val="18"/>
                <w:szCs w:val="18"/>
                <w:lang w:val="ky-KG"/>
              </w:rPr>
            </w:pPr>
            <w:r w:rsidRPr="00C44EE6">
              <w:rPr>
                <w:b/>
                <w:i/>
                <w:sz w:val="18"/>
                <w:szCs w:val="18"/>
              </w:rPr>
              <w:t>(прибыль минус убыток</w:t>
            </w:r>
            <w:r w:rsidRPr="00C44EE6">
              <w:rPr>
                <w:rFonts w:ascii="Times New Roman UniToktom" w:hAnsi="Times New Roman UniToktom" w:cs="Times New Roman UniToktom"/>
                <w:b/>
                <w:i/>
                <w:sz w:val="18"/>
                <w:szCs w:val="18"/>
              </w:rPr>
              <w:t>)</w:t>
            </w:r>
          </w:p>
        </w:tc>
        <w:tc>
          <w:tcPr>
            <w:tcW w:w="2093" w:type="dxa"/>
            <w:gridSpan w:val="2"/>
            <w:tcBorders>
              <w:top w:val="single" w:sz="12" w:space="0" w:color="auto"/>
              <w:left w:val="nil"/>
              <w:bottom w:val="single" w:sz="12" w:space="0" w:color="auto"/>
              <w:right w:val="nil"/>
            </w:tcBorders>
            <w:vAlign w:val="center"/>
          </w:tcPr>
          <w:p w14:paraId="27F47792" w14:textId="77777777" w:rsidR="00656550" w:rsidRPr="00C44EE6" w:rsidRDefault="00656550" w:rsidP="00FF3C2B">
            <w:pPr>
              <w:pStyle w:val="24"/>
              <w:jc w:val="center"/>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Пайда алган ишканалар</w:t>
            </w:r>
          </w:p>
          <w:p w14:paraId="689BE5B1" w14:textId="77777777" w:rsidR="00656550" w:rsidRPr="00C44EE6" w:rsidRDefault="00656550" w:rsidP="00FF3C2B">
            <w:pPr>
              <w:pStyle w:val="24"/>
              <w:jc w:val="center"/>
              <w:rPr>
                <w:rFonts w:ascii="Times New Roman UniToktom" w:hAnsi="Times New Roman UniToktom" w:cs="Times New Roman UniToktom"/>
                <w:i/>
                <w:sz w:val="18"/>
                <w:szCs w:val="18"/>
              </w:rPr>
            </w:pPr>
            <w:r w:rsidRPr="00C44EE6">
              <w:rPr>
                <w:rFonts w:ascii="Times New Roman UniToktom" w:hAnsi="Times New Roman UniToktom" w:cs="Times New Roman UniToktom"/>
                <w:i/>
                <w:sz w:val="18"/>
                <w:szCs w:val="18"/>
              </w:rPr>
              <w:t xml:space="preserve">Предприятия, </w:t>
            </w:r>
          </w:p>
          <w:p w14:paraId="3FC7A658" w14:textId="77777777" w:rsidR="00656550" w:rsidRPr="00C44EE6" w:rsidRDefault="00656550" w:rsidP="00FF3C2B">
            <w:pPr>
              <w:pStyle w:val="24"/>
              <w:jc w:val="center"/>
              <w:rPr>
                <w:rFonts w:ascii="Times New Roman UniToktom" w:hAnsi="Times New Roman UniToktom" w:cs="Times New Roman UniToktom"/>
                <w:i/>
                <w:sz w:val="18"/>
                <w:szCs w:val="18"/>
              </w:rPr>
            </w:pPr>
            <w:r w:rsidRPr="00C44EE6">
              <w:rPr>
                <w:rFonts w:ascii="Times New Roman UniToktom" w:hAnsi="Times New Roman UniToktom" w:cs="Times New Roman UniToktom"/>
                <w:i/>
                <w:sz w:val="18"/>
                <w:szCs w:val="18"/>
              </w:rPr>
              <w:t>получившие</w:t>
            </w:r>
          </w:p>
          <w:p w14:paraId="69455F26" w14:textId="77777777" w:rsidR="00656550" w:rsidRPr="00C44EE6" w:rsidRDefault="00656550" w:rsidP="00FF3C2B">
            <w:pPr>
              <w:pStyle w:val="24"/>
              <w:jc w:val="center"/>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i/>
                <w:sz w:val="18"/>
                <w:szCs w:val="18"/>
              </w:rPr>
              <w:t xml:space="preserve"> прибыль</w:t>
            </w:r>
          </w:p>
        </w:tc>
        <w:tc>
          <w:tcPr>
            <w:tcW w:w="2126" w:type="dxa"/>
            <w:gridSpan w:val="2"/>
            <w:tcBorders>
              <w:top w:val="single" w:sz="12" w:space="0" w:color="auto"/>
              <w:left w:val="nil"/>
              <w:bottom w:val="single" w:sz="12" w:space="0" w:color="auto"/>
              <w:right w:val="nil"/>
            </w:tcBorders>
            <w:vAlign w:val="center"/>
          </w:tcPr>
          <w:p w14:paraId="25602533" w14:textId="77777777" w:rsidR="00656550" w:rsidRPr="00C44EE6" w:rsidRDefault="00656550" w:rsidP="00FF3C2B">
            <w:pPr>
              <w:pStyle w:val="24"/>
              <w:jc w:val="center"/>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 xml:space="preserve">Чыгаша алган ишканалар </w:t>
            </w:r>
          </w:p>
          <w:p w14:paraId="747FDAAF" w14:textId="77777777" w:rsidR="00656550" w:rsidRPr="00C44EE6" w:rsidRDefault="00656550" w:rsidP="00FF3C2B">
            <w:pPr>
              <w:pStyle w:val="24"/>
              <w:jc w:val="center"/>
              <w:rPr>
                <w:rFonts w:ascii="Times New Roman UniToktom" w:hAnsi="Times New Roman UniToktom" w:cs="Times New Roman UniToktom"/>
                <w:i/>
                <w:sz w:val="18"/>
                <w:szCs w:val="18"/>
              </w:rPr>
            </w:pPr>
            <w:r w:rsidRPr="00C44EE6">
              <w:rPr>
                <w:rFonts w:ascii="Times New Roman UniToktom" w:hAnsi="Times New Roman UniToktom" w:cs="Times New Roman UniToktom"/>
                <w:i/>
                <w:sz w:val="18"/>
                <w:szCs w:val="18"/>
              </w:rPr>
              <w:t xml:space="preserve">Предприятия, </w:t>
            </w:r>
          </w:p>
          <w:p w14:paraId="67F55E83" w14:textId="77777777" w:rsidR="00656550" w:rsidRPr="00C44EE6" w:rsidRDefault="00656550" w:rsidP="00FF3C2B">
            <w:pPr>
              <w:pStyle w:val="24"/>
              <w:jc w:val="center"/>
              <w:rPr>
                <w:rFonts w:ascii="Times New Roman UniToktom" w:hAnsi="Times New Roman UniToktom" w:cs="Times New Roman UniToktom"/>
                <w:i/>
                <w:sz w:val="18"/>
                <w:szCs w:val="18"/>
              </w:rPr>
            </w:pPr>
            <w:r w:rsidRPr="00C44EE6">
              <w:rPr>
                <w:rFonts w:ascii="Times New Roman UniToktom" w:hAnsi="Times New Roman UniToktom" w:cs="Times New Roman UniToktom"/>
                <w:i/>
                <w:sz w:val="18"/>
                <w:szCs w:val="18"/>
              </w:rPr>
              <w:t>получившие</w:t>
            </w:r>
          </w:p>
          <w:p w14:paraId="4B37BA01" w14:textId="77777777" w:rsidR="00656550" w:rsidRPr="00C44EE6" w:rsidRDefault="00656550" w:rsidP="00FF3C2B">
            <w:pPr>
              <w:pStyle w:val="24"/>
              <w:jc w:val="center"/>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i/>
                <w:sz w:val="18"/>
                <w:szCs w:val="18"/>
              </w:rPr>
              <w:t xml:space="preserve"> убыток</w:t>
            </w:r>
          </w:p>
        </w:tc>
        <w:tc>
          <w:tcPr>
            <w:tcW w:w="1594" w:type="dxa"/>
            <w:gridSpan w:val="2"/>
            <w:vMerge w:val="restart"/>
            <w:tcBorders>
              <w:top w:val="single" w:sz="12" w:space="0" w:color="auto"/>
              <w:left w:val="nil"/>
              <w:right w:val="nil"/>
            </w:tcBorders>
            <w:vAlign w:val="center"/>
          </w:tcPr>
          <w:p w14:paraId="33E7A037" w14:textId="77777777" w:rsidR="00656550" w:rsidRPr="00C44EE6" w:rsidRDefault="00656550" w:rsidP="00FF3C2B">
            <w:pPr>
              <w:pStyle w:val="24"/>
              <w:jc w:val="center"/>
              <w:rPr>
                <w:rFonts w:ascii="Times New Roman UniToktom" w:hAnsi="Times New Roman UniToktom" w:cs="Times New Roman UniToktom"/>
                <w:i/>
                <w:sz w:val="18"/>
                <w:szCs w:val="18"/>
                <w:lang w:val="ky-KG"/>
              </w:rPr>
            </w:pPr>
          </w:p>
        </w:tc>
      </w:tr>
      <w:tr w:rsidR="00C44EE6" w:rsidRPr="00C44EE6" w14:paraId="072C38F7" w14:textId="77777777" w:rsidTr="00372228">
        <w:trPr>
          <w:cantSplit/>
        </w:trPr>
        <w:tc>
          <w:tcPr>
            <w:tcW w:w="1734" w:type="dxa"/>
            <w:vMerge/>
            <w:tcBorders>
              <w:top w:val="single" w:sz="12" w:space="0" w:color="auto"/>
              <w:left w:val="nil"/>
              <w:bottom w:val="single" w:sz="12" w:space="0" w:color="auto"/>
              <w:right w:val="nil"/>
            </w:tcBorders>
            <w:vAlign w:val="center"/>
          </w:tcPr>
          <w:p w14:paraId="33D21542" w14:textId="77777777" w:rsidR="00656550" w:rsidRPr="00C44EE6" w:rsidRDefault="00656550" w:rsidP="00FF3C2B">
            <w:pPr>
              <w:pStyle w:val="24"/>
              <w:jc w:val="center"/>
              <w:rPr>
                <w:rFonts w:ascii="Times New Roman UniToktom" w:hAnsi="Times New Roman UniToktom" w:cs="Times New Roman UniToktom"/>
                <w:sz w:val="18"/>
                <w:szCs w:val="18"/>
                <w:lang w:val="ky-KG"/>
              </w:rPr>
            </w:pPr>
          </w:p>
        </w:tc>
        <w:tc>
          <w:tcPr>
            <w:tcW w:w="959" w:type="dxa"/>
            <w:vMerge/>
            <w:tcBorders>
              <w:top w:val="single" w:sz="12" w:space="0" w:color="auto"/>
              <w:left w:val="nil"/>
              <w:bottom w:val="single" w:sz="12" w:space="0" w:color="auto"/>
              <w:right w:val="nil"/>
            </w:tcBorders>
            <w:vAlign w:val="center"/>
          </w:tcPr>
          <w:p w14:paraId="1D864C89" w14:textId="77777777" w:rsidR="00656550" w:rsidRPr="00C44EE6" w:rsidRDefault="00656550" w:rsidP="00FF3C2B">
            <w:pPr>
              <w:pStyle w:val="24"/>
              <w:jc w:val="center"/>
              <w:rPr>
                <w:rFonts w:ascii="Times New Roman UniToktom" w:hAnsi="Times New Roman UniToktom" w:cs="Times New Roman UniToktom"/>
                <w:sz w:val="18"/>
                <w:szCs w:val="18"/>
                <w:lang w:val="ky-KG"/>
              </w:rPr>
            </w:pPr>
          </w:p>
        </w:tc>
        <w:tc>
          <w:tcPr>
            <w:tcW w:w="1167" w:type="dxa"/>
            <w:vMerge/>
            <w:tcBorders>
              <w:top w:val="single" w:sz="12" w:space="0" w:color="auto"/>
              <w:left w:val="nil"/>
              <w:bottom w:val="single" w:sz="12" w:space="0" w:color="auto"/>
              <w:right w:val="nil"/>
            </w:tcBorders>
            <w:vAlign w:val="center"/>
          </w:tcPr>
          <w:p w14:paraId="4432E927" w14:textId="77777777" w:rsidR="00656550" w:rsidRPr="00C44EE6" w:rsidRDefault="00656550" w:rsidP="00FF3C2B">
            <w:pPr>
              <w:pStyle w:val="24"/>
              <w:jc w:val="center"/>
              <w:rPr>
                <w:rFonts w:ascii="Times New Roman UniToktom" w:hAnsi="Times New Roman UniToktom" w:cs="Times New Roman UniToktom"/>
                <w:sz w:val="18"/>
                <w:szCs w:val="18"/>
                <w:lang w:val="ky-KG"/>
              </w:rPr>
            </w:pPr>
          </w:p>
        </w:tc>
        <w:tc>
          <w:tcPr>
            <w:tcW w:w="959" w:type="dxa"/>
            <w:tcBorders>
              <w:top w:val="single" w:sz="12" w:space="0" w:color="auto"/>
              <w:left w:val="nil"/>
              <w:bottom w:val="single" w:sz="12" w:space="0" w:color="auto"/>
              <w:right w:val="nil"/>
            </w:tcBorders>
            <w:vAlign w:val="center"/>
          </w:tcPr>
          <w:p w14:paraId="70275EA6" w14:textId="77777777" w:rsidR="00656550" w:rsidRPr="00C44EE6" w:rsidRDefault="00656550" w:rsidP="00FF3C2B">
            <w:pPr>
              <w:pStyle w:val="24"/>
              <w:jc w:val="center"/>
              <w:rPr>
                <w:b/>
                <w:i/>
                <w:sz w:val="18"/>
                <w:szCs w:val="18"/>
              </w:rPr>
            </w:pPr>
            <w:r w:rsidRPr="00C44EE6">
              <w:rPr>
                <w:b/>
                <w:sz w:val="18"/>
                <w:szCs w:val="18"/>
                <w:lang w:val="ky-KG"/>
              </w:rPr>
              <w:t>саны, бирдик</w:t>
            </w:r>
          </w:p>
          <w:p w14:paraId="3166EC35" w14:textId="77777777" w:rsidR="00656550" w:rsidRPr="00C44EE6" w:rsidRDefault="00656550" w:rsidP="00FF3C2B">
            <w:pPr>
              <w:pStyle w:val="24"/>
              <w:jc w:val="center"/>
              <w:rPr>
                <w:rFonts w:ascii="Times New Roman UniToktom" w:hAnsi="Times New Roman UniToktom" w:cs="Times New Roman UniToktom"/>
                <w:b/>
                <w:i/>
                <w:sz w:val="18"/>
                <w:szCs w:val="18"/>
              </w:rPr>
            </w:pPr>
            <w:r w:rsidRPr="00C44EE6">
              <w:rPr>
                <w:b/>
                <w:i/>
                <w:sz w:val="18"/>
                <w:szCs w:val="18"/>
              </w:rPr>
              <w:t>количество, единиц</w:t>
            </w:r>
          </w:p>
        </w:tc>
        <w:tc>
          <w:tcPr>
            <w:tcW w:w="1134" w:type="dxa"/>
            <w:tcBorders>
              <w:top w:val="single" w:sz="12" w:space="0" w:color="auto"/>
              <w:left w:val="nil"/>
              <w:bottom w:val="single" w:sz="12" w:space="0" w:color="auto"/>
              <w:right w:val="nil"/>
            </w:tcBorders>
            <w:vAlign w:val="center"/>
          </w:tcPr>
          <w:p w14:paraId="5480884A" w14:textId="77777777" w:rsidR="00656550" w:rsidRPr="00C44EE6" w:rsidRDefault="00656550" w:rsidP="00FF3C2B">
            <w:pPr>
              <w:pStyle w:val="24"/>
              <w:jc w:val="center"/>
              <w:rPr>
                <w:b/>
                <w:sz w:val="18"/>
                <w:szCs w:val="18"/>
                <w:lang w:val="ky-KG"/>
              </w:rPr>
            </w:pPr>
            <w:r w:rsidRPr="00C44EE6">
              <w:rPr>
                <w:b/>
                <w:sz w:val="18"/>
                <w:szCs w:val="18"/>
                <w:lang w:val="ky-KG"/>
              </w:rPr>
              <w:t>пайданын суммасы,</w:t>
            </w:r>
          </w:p>
          <w:p w14:paraId="61F97352" w14:textId="77777777" w:rsidR="00656550" w:rsidRPr="00C44EE6" w:rsidRDefault="00656550" w:rsidP="00FF3C2B">
            <w:pPr>
              <w:pStyle w:val="24"/>
              <w:jc w:val="center"/>
              <w:rPr>
                <w:rFonts w:ascii="Times New Roman UniToktom" w:hAnsi="Times New Roman UniToktom" w:cs="Times New Roman UniToktom"/>
                <w:b/>
                <w:i/>
                <w:sz w:val="18"/>
                <w:szCs w:val="18"/>
              </w:rPr>
            </w:pPr>
            <w:r w:rsidRPr="00C44EE6">
              <w:rPr>
                <w:b/>
                <w:sz w:val="18"/>
                <w:szCs w:val="18"/>
                <w:lang w:val="ky-KG"/>
              </w:rPr>
              <w:t xml:space="preserve">млн. сом        сумма прибыли, </w:t>
            </w:r>
            <w:r w:rsidRPr="00C44EE6">
              <w:rPr>
                <w:b/>
                <w:i/>
                <w:sz w:val="18"/>
                <w:szCs w:val="18"/>
                <w:lang w:val="ky-KG"/>
              </w:rPr>
              <w:t>млн. сомов</w:t>
            </w:r>
          </w:p>
        </w:tc>
        <w:tc>
          <w:tcPr>
            <w:tcW w:w="992" w:type="dxa"/>
            <w:tcBorders>
              <w:top w:val="single" w:sz="12" w:space="0" w:color="auto"/>
              <w:left w:val="nil"/>
              <w:bottom w:val="single" w:sz="12" w:space="0" w:color="auto"/>
              <w:right w:val="nil"/>
            </w:tcBorders>
            <w:vAlign w:val="center"/>
          </w:tcPr>
          <w:p w14:paraId="39C9F4F8" w14:textId="77777777" w:rsidR="00656550" w:rsidRPr="00C44EE6" w:rsidRDefault="00656550" w:rsidP="00FF3C2B">
            <w:pPr>
              <w:pStyle w:val="24"/>
              <w:jc w:val="center"/>
              <w:rPr>
                <w:b/>
                <w:i/>
                <w:sz w:val="18"/>
                <w:szCs w:val="18"/>
              </w:rPr>
            </w:pPr>
            <w:r w:rsidRPr="00C44EE6">
              <w:rPr>
                <w:b/>
                <w:sz w:val="18"/>
                <w:szCs w:val="18"/>
                <w:lang w:val="ky-KG"/>
              </w:rPr>
              <w:t>саны, бирдик</w:t>
            </w:r>
          </w:p>
          <w:p w14:paraId="13C7A251" w14:textId="77777777" w:rsidR="00656550" w:rsidRPr="00C44EE6" w:rsidRDefault="00656550" w:rsidP="00FF3C2B">
            <w:pPr>
              <w:pStyle w:val="24"/>
              <w:jc w:val="center"/>
              <w:rPr>
                <w:rFonts w:ascii="Times New Roman UniToktom" w:hAnsi="Times New Roman UniToktom" w:cs="Times New Roman UniToktom"/>
                <w:b/>
                <w:i/>
                <w:sz w:val="18"/>
                <w:szCs w:val="18"/>
              </w:rPr>
            </w:pPr>
            <w:r w:rsidRPr="00C44EE6">
              <w:rPr>
                <w:b/>
                <w:i/>
                <w:sz w:val="18"/>
                <w:szCs w:val="18"/>
              </w:rPr>
              <w:t>количество, единиц</w:t>
            </w:r>
          </w:p>
        </w:tc>
        <w:tc>
          <w:tcPr>
            <w:tcW w:w="1134" w:type="dxa"/>
            <w:tcBorders>
              <w:top w:val="single" w:sz="12" w:space="0" w:color="auto"/>
              <w:left w:val="nil"/>
              <w:bottom w:val="single" w:sz="12" w:space="0" w:color="auto"/>
              <w:right w:val="nil"/>
            </w:tcBorders>
            <w:vAlign w:val="center"/>
          </w:tcPr>
          <w:p w14:paraId="6CAAB731" w14:textId="77777777" w:rsidR="00656550" w:rsidRPr="00C44EE6" w:rsidRDefault="00656550" w:rsidP="00FF3C2B">
            <w:pPr>
              <w:pStyle w:val="24"/>
              <w:jc w:val="center"/>
              <w:rPr>
                <w:b/>
                <w:sz w:val="18"/>
                <w:szCs w:val="18"/>
                <w:lang w:val="ky-KG"/>
              </w:rPr>
            </w:pPr>
            <w:r w:rsidRPr="00C44EE6">
              <w:rPr>
                <w:b/>
                <w:sz w:val="18"/>
                <w:szCs w:val="18"/>
                <w:lang w:val="ky-KG"/>
              </w:rPr>
              <w:t xml:space="preserve">чыгашанын суммасы, млн. сом        </w:t>
            </w:r>
          </w:p>
          <w:p w14:paraId="6C42D4B9" w14:textId="77777777" w:rsidR="00656550" w:rsidRPr="00C44EE6" w:rsidRDefault="00656550" w:rsidP="00FF3C2B">
            <w:pPr>
              <w:pStyle w:val="24"/>
              <w:jc w:val="center"/>
              <w:rPr>
                <w:rFonts w:ascii="Times New Roman UniToktom" w:hAnsi="Times New Roman UniToktom" w:cs="Times New Roman UniToktom"/>
                <w:b/>
                <w:i/>
                <w:sz w:val="18"/>
                <w:szCs w:val="18"/>
              </w:rPr>
            </w:pPr>
            <w:r w:rsidRPr="00C44EE6">
              <w:rPr>
                <w:b/>
                <w:i/>
                <w:sz w:val="18"/>
                <w:szCs w:val="18"/>
              </w:rPr>
              <w:t xml:space="preserve">сумма убытка, </w:t>
            </w:r>
            <w:r w:rsidRPr="00C44EE6">
              <w:rPr>
                <w:b/>
                <w:i/>
                <w:sz w:val="18"/>
                <w:szCs w:val="18"/>
                <w:lang w:val="ky-KG"/>
              </w:rPr>
              <w:t>млн.</w:t>
            </w:r>
            <w:r w:rsidRPr="00C44EE6">
              <w:rPr>
                <w:b/>
                <w:i/>
                <w:sz w:val="18"/>
                <w:szCs w:val="18"/>
              </w:rPr>
              <w:t xml:space="preserve"> сомов</w:t>
            </w:r>
          </w:p>
        </w:tc>
        <w:tc>
          <w:tcPr>
            <w:tcW w:w="1594" w:type="dxa"/>
            <w:gridSpan w:val="2"/>
            <w:vMerge/>
            <w:tcBorders>
              <w:left w:val="nil"/>
              <w:bottom w:val="single" w:sz="12" w:space="0" w:color="auto"/>
              <w:right w:val="nil"/>
            </w:tcBorders>
          </w:tcPr>
          <w:p w14:paraId="5AE7BC36" w14:textId="77777777" w:rsidR="00656550" w:rsidRPr="00C44EE6" w:rsidRDefault="00656550" w:rsidP="00FF3C2B">
            <w:pPr>
              <w:pStyle w:val="24"/>
              <w:jc w:val="center"/>
              <w:rPr>
                <w:rFonts w:ascii="Times New Roman UniToktom" w:hAnsi="Times New Roman UniToktom" w:cs="Times New Roman UniToktom"/>
                <w:sz w:val="18"/>
                <w:szCs w:val="18"/>
                <w:lang w:val="ky-KG"/>
              </w:rPr>
            </w:pPr>
          </w:p>
        </w:tc>
      </w:tr>
      <w:tr w:rsidR="00C44EE6" w:rsidRPr="00C44EE6" w14:paraId="02AFBB30" w14:textId="77777777" w:rsidTr="00372228">
        <w:tc>
          <w:tcPr>
            <w:tcW w:w="1734" w:type="dxa"/>
            <w:tcBorders>
              <w:top w:val="single" w:sz="12" w:space="0" w:color="auto"/>
              <w:left w:val="nil"/>
              <w:bottom w:val="nil"/>
              <w:right w:val="nil"/>
            </w:tcBorders>
          </w:tcPr>
          <w:p w14:paraId="46920AEF" w14:textId="77777777" w:rsidR="00656550" w:rsidRPr="00C44EE6" w:rsidRDefault="00656550" w:rsidP="00FF3C2B">
            <w:pPr>
              <w:pStyle w:val="24"/>
              <w:rPr>
                <w:rFonts w:ascii="Times New Roman UniToktom" w:hAnsi="Times New Roman UniToktom" w:cs="Times New Roman UniToktom"/>
                <w:b/>
                <w:sz w:val="18"/>
                <w:szCs w:val="18"/>
              </w:rPr>
            </w:pPr>
            <w:r w:rsidRPr="00C44EE6">
              <w:rPr>
                <w:rFonts w:ascii="Times New Roman UniToktom" w:hAnsi="Times New Roman UniToktom" w:cs="Times New Roman UniToktom"/>
                <w:b/>
                <w:sz w:val="18"/>
                <w:szCs w:val="18"/>
                <w:lang w:val="ky-KG"/>
              </w:rPr>
              <w:t>Жалал-Абад</w:t>
            </w:r>
            <w:r w:rsidRPr="00C44EE6">
              <w:rPr>
                <w:rFonts w:ascii="Times New Roman UniToktom" w:hAnsi="Times New Roman UniToktom" w:cs="Times New Roman UniToktom"/>
                <w:b/>
                <w:sz w:val="18"/>
                <w:szCs w:val="18"/>
              </w:rPr>
              <w:t xml:space="preserve"> </w:t>
            </w:r>
          </w:p>
          <w:p w14:paraId="6BBA5D4C" w14:textId="77777777" w:rsidR="00656550" w:rsidRPr="00C44EE6" w:rsidRDefault="00656550" w:rsidP="00FF3C2B">
            <w:pPr>
              <w:pStyle w:val="24"/>
              <w:rPr>
                <w:rFonts w:ascii="Times New Roman UniToktom" w:hAnsi="Times New Roman UniToktom" w:cs="Times New Roman UniToktom"/>
                <w:b/>
                <w:sz w:val="18"/>
                <w:szCs w:val="18"/>
              </w:rPr>
            </w:pPr>
            <w:proofErr w:type="spellStart"/>
            <w:r w:rsidRPr="00C44EE6">
              <w:rPr>
                <w:rFonts w:ascii="Times New Roman UniToktom" w:hAnsi="Times New Roman UniToktom" w:cs="Times New Roman UniToktom"/>
                <w:b/>
                <w:sz w:val="18"/>
                <w:szCs w:val="18"/>
              </w:rPr>
              <w:t>обл</w:t>
            </w:r>
            <w:proofErr w:type="spellEnd"/>
            <w:r w:rsidRPr="00C44EE6">
              <w:rPr>
                <w:rFonts w:ascii="Times New Roman UniToktom" w:hAnsi="Times New Roman UniToktom" w:cs="Times New Roman UniToktom"/>
                <w:b/>
                <w:sz w:val="18"/>
                <w:szCs w:val="18"/>
                <w:lang w:val="ky-KG"/>
              </w:rPr>
              <w:t>у</w:t>
            </w:r>
            <w:r w:rsidRPr="00C44EE6">
              <w:rPr>
                <w:rFonts w:ascii="Times New Roman UniToktom" w:hAnsi="Times New Roman UniToktom" w:cs="Times New Roman UniToktom"/>
                <w:b/>
                <w:sz w:val="18"/>
                <w:szCs w:val="18"/>
              </w:rPr>
              <w:t>с</w:t>
            </w:r>
            <w:r w:rsidRPr="00C44EE6">
              <w:rPr>
                <w:rFonts w:ascii="Times New Roman UniToktom" w:hAnsi="Times New Roman UniToktom" w:cs="Times New Roman UniToktom"/>
                <w:b/>
                <w:sz w:val="18"/>
                <w:szCs w:val="18"/>
                <w:lang w:val="ky-KG"/>
              </w:rPr>
              <w:t>у</w:t>
            </w:r>
          </w:p>
        </w:tc>
        <w:tc>
          <w:tcPr>
            <w:tcW w:w="959" w:type="dxa"/>
            <w:tcBorders>
              <w:top w:val="single" w:sz="12" w:space="0" w:color="auto"/>
              <w:left w:val="nil"/>
              <w:bottom w:val="nil"/>
              <w:right w:val="nil"/>
            </w:tcBorders>
            <w:vAlign w:val="bottom"/>
          </w:tcPr>
          <w:p w14:paraId="679A0AB8" w14:textId="124BDBC9" w:rsidR="00656550" w:rsidRPr="00C44EE6" w:rsidRDefault="008F416E" w:rsidP="00FF3C2B">
            <w:pPr>
              <w:pStyle w:val="24"/>
              <w:jc w:val="right"/>
              <w:rPr>
                <w:rFonts w:ascii="Times New Roman UniToktom" w:hAnsi="Times New Roman UniToktom" w:cs="Times New Roman UniToktom"/>
                <w:b/>
                <w:sz w:val="18"/>
                <w:szCs w:val="18"/>
                <w:lang w:val="ky-KG"/>
              </w:rPr>
            </w:pPr>
            <w:r w:rsidRPr="00C44EE6">
              <w:rPr>
                <w:rFonts w:ascii="Times New Roman UniToktom" w:hAnsi="Times New Roman UniToktom" w:cs="Times New Roman UniToktom"/>
                <w:b/>
                <w:sz w:val="18"/>
                <w:szCs w:val="18"/>
                <w:lang w:val="ky-KG"/>
              </w:rPr>
              <w:t>1020</w:t>
            </w:r>
          </w:p>
        </w:tc>
        <w:tc>
          <w:tcPr>
            <w:tcW w:w="1167" w:type="dxa"/>
            <w:tcBorders>
              <w:top w:val="single" w:sz="12" w:space="0" w:color="auto"/>
              <w:left w:val="nil"/>
              <w:bottom w:val="nil"/>
              <w:right w:val="nil"/>
            </w:tcBorders>
            <w:vAlign w:val="bottom"/>
          </w:tcPr>
          <w:p w14:paraId="1B9A1415" w14:textId="7B09EBA9" w:rsidR="00656550" w:rsidRPr="00C44EE6" w:rsidRDefault="008F416E" w:rsidP="00FF3C2B">
            <w:pPr>
              <w:pStyle w:val="24"/>
              <w:jc w:val="right"/>
              <w:rPr>
                <w:rFonts w:ascii="Times New Roman UniToktom" w:hAnsi="Times New Roman UniToktom" w:cs="Times New Roman UniToktom"/>
                <w:b/>
                <w:sz w:val="18"/>
                <w:szCs w:val="18"/>
                <w:lang w:val="ky-KG"/>
              </w:rPr>
            </w:pPr>
            <w:r w:rsidRPr="00C44EE6">
              <w:rPr>
                <w:rFonts w:ascii="Times New Roman UniToktom" w:hAnsi="Times New Roman UniToktom" w:cs="Times New Roman UniToktom"/>
                <w:b/>
                <w:sz w:val="18"/>
                <w:szCs w:val="18"/>
                <w:lang w:val="ky-KG"/>
              </w:rPr>
              <w:t>9 892,5</w:t>
            </w:r>
          </w:p>
        </w:tc>
        <w:tc>
          <w:tcPr>
            <w:tcW w:w="959" w:type="dxa"/>
            <w:tcBorders>
              <w:top w:val="single" w:sz="12" w:space="0" w:color="auto"/>
              <w:left w:val="nil"/>
              <w:bottom w:val="nil"/>
              <w:right w:val="nil"/>
            </w:tcBorders>
            <w:vAlign w:val="bottom"/>
          </w:tcPr>
          <w:p w14:paraId="010117F0" w14:textId="0D61929E" w:rsidR="00656550" w:rsidRPr="00C44EE6" w:rsidRDefault="008F416E" w:rsidP="00FF3C2B">
            <w:pPr>
              <w:pStyle w:val="24"/>
              <w:jc w:val="right"/>
              <w:rPr>
                <w:rFonts w:ascii="Times New Roman UniToktom" w:hAnsi="Times New Roman UniToktom" w:cs="Times New Roman UniToktom"/>
                <w:b/>
                <w:sz w:val="18"/>
                <w:szCs w:val="18"/>
                <w:lang w:val="ky-KG"/>
              </w:rPr>
            </w:pPr>
            <w:r w:rsidRPr="00C44EE6">
              <w:rPr>
                <w:rFonts w:ascii="Times New Roman UniToktom" w:hAnsi="Times New Roman UniToktom" w:cs="Times New Roman UniToktom"/>
                <w:b/>
                <w:sz w:val="18"/>
                <w:szCs w:val="18"/>
                <w:lang w:val="ky-KG"/>
              </w:rPr>
              <w:t>693</w:t>
            </w:r>
          </w:p>
        </w:tc>
        <w:tc>
          <w:tcPr>
            <w:tcW w:w="1134" w:type="dxa"/>
            <w:tcBorders>
              <w:top w:val="single" w:sz="12" w:space="0" w:color="auto"/>
              <w:left w:val="nil"/>
              <w:bottom w:val="nil"/>
              <w:right w:val="nil"/>
            </w:tcBorders>
            <w:vAlign w:val="bottom"/>
          </w:tcPr>
          <w:p w14:paraId="22000F68" w14:textId="1435B3D6" w:rsidR="00656550" w:rsidRPr="00C44EE6" w:rsidRDefault="008F416E" w:rsidP="00FF3C2B">
            <w:pPr>
              <w:pStyle w:val="24"/>
              <w:jc w:val="right"/>
              <w:rPr>
                <w:rFonts w:ascii="Times New Roman UniToktom" w:hAnsi="Times New Roman UniToktom" w:cs="Times New Roman UniToktom"/>
                <w:b/>
                <w:sz w:val="18"/>
                <w:szCs w:val="18"/>
                <w:lang w:val="ky-KG"/>
              </w:rPr>
            </w:pPr>
            <w:r w:rsidRPr="00C44EE6">
              <w:rPr>
                <w:rFonts w:ascii="Times New Roman UniToktom" w:hAnsi="Times New Roman UniToktom" w:cs="Times New Roman UniToktom"/>
                <w:b/>
                <w:sz w:val="18"/>
                <w:szCs w:val="18"/>
                <w:lang w:val="ky-KG"/>
              </w:rPr>
              <w:t>12 623,1</w:t>
            </w:r>
          </w:p>
        </w:tc>
        <w:tc>
          <w:tcPr>
            <w:tcW w:w="992" w:type="dxa"/>
            <w:tcBorders>
              <w:top w:val="single" w:sz="12" w:space="0" w:color="auto"/>
              <w:left w:val="nil"/>
              <w:bottom w:val="nil"/>
              <w:right w:val="nil"/>
            </w:tcBorders>
            <w:vAlign w:val="bottom"/>
          </w:tcPr>
          <w:p w14:paraId="775BCB9E" w14:textId="30469A02" w:rsidR="00656550" w:rsidRPr="00C44EE6" w:rsidRDefault="008F416E" w:rsidP="00FF3C2B">
            <w:pPr>
              <w:pStyle w:val="24"/>
              <w:jc w:val="right"/>
              <w:rPr>
                <w:rFonts w:ascii="Times New Roman UniToktom" w:hAnsi="Times New Roman UniToktom" w:cs="Times New Roman UniToktom"/>
                <w:b/>
                <w:sz w:val="18"/>
                <w:szCs w:val="18"/>
                <w:lang w:val="ky-KG"/>
              </w:rPr>
            </w:pPr>
            <w:r w:rsidRPr="00C44EE6">
              <w:rPr>
                <w:rFonts w:ascii="Times New Roman UniToktom" w:hAnsi="Times New Roman UniToktom" w:cs="Times New Roman UniToktom"/>
                <w:b/>
                <w:sz w:val="18"/>
                <w:szCs w:val="18"/>
                <w:lang w:val="ky-KG"/>
              </w:rPr>
              <w:t>116</w:t>
            </w:r>
          </w:p>
        </w:tc>
        <w:tc>
          <w:tcPr>
            <w:tcW w:w="1134" w:type="dxa"/>
            <w:tcBorders>
              <w:top w:val="single" w:sz="12" w:space="0" w:color="auto"/>
              <w:left w:val="nil"/>
              <w:bottom w:val="nil"/>
              <w:right w:val="nil"/>
            </w:tcBorders>
            <w:vAlign w:val="bottom"/>
          </w:tcPr>
          <w:p w14:paraId="179F52A4" w14:textId="437E5F3D" w:rsidR="00656550" w:rsidRPr="00C44EE6" w:rsidRDefault="008F416E" w:rsidP="00FF3C2B">
            <w:pPr>
              <w:pStyle w:val="24"/>
              <w:jc w:val="right"/>
              <w:rPr>
                <w:rFonts w:ascii="Times New Roman UniToktom" w:hAnsi="Times New Roman UniToktom" w:cs="Times New Roman UniToktom"/>
                <w:b/>
                <w:sz w:val="18"/>
                <w:szCs w:val="18"/>
                <w:lang w:val="ky-KG"/>
              </w:rPr>
            </w:pPr>
            <w:r w:rsidRPr="00C44EE6">
              <w:rPr>
                <w:rFonts w:ascii="Times New Roman UniToktom" w:hAnsi="Times New Roman UniToktom" w:cs="Times New Roman UniToktom"/>
                <w:b/>
                <w:sz w:val="18"/>
                <w:szCs w:val="18"/>
                <w:lang w:val="ky-KG"/>
              </w:rPr>
              <w:t>-2 730,6</w:t>
            </w:r>
          </w:p>
        </w:tc>
        <w:tc>
          <w:tcPr>
            <w:tcW w:w="1594" w:type="dxa"/>
            <w:gridSpan w:val="2"/>
            <w:tcBorders>
              <w:top w:val="single" w:sz="12" w:space="0" w:color="auto"/>
              <w:left w:val="nil"/>
              <w:bottom w:val="nil"/>
              <w:right w:val="nil"/>
            </w:tcBorders>
          </w:tcPr>
          <w:p w14:paraId="56321E8A" w14:textId="77777777" w:rsidR="00656550" w:rsidRPr="00C44EE6" w:rsidRDefault="00656550" w:rsidP="00FF3C2B">
            <w:pPr>
              <w:pStyle w:val="24"/>
              <w:rPr>
                <w:rFonts w:ascii="Times New Roman UniToktom" w:hAnsi="Times New Roman UniToktom" w:cs="Times New Roman UniToktom"/>
                <w:b/>
                <w:i/>
                <w:sz w:val="18"/>
                <w:szCs w:val="18"/>
              </w:rPr>
            </w:pPr>
            <w:r w:rsidRPr="00C44EE6">
              <w:rPr>
                <w:rFonts w:ascii="Times New Roman UniToktom" w:hAnsi="Times New Roman UniToktom" w:cs="Times New Roman UniToktom"/>
                <w:b/>
                <w:i/>
                <w:sz w:val="18"/>
                <w:szCs w:val="18"/>
                <w:lang w:val="ky-KG"/>
              </w:rPr>
              <w:t>Джалал-Абад</w:t>
            </w:r>
            <w:proofErr w:type="spellStart"/>
            <w:r w:rsidRPr="00C44EE6">
              <w:rPr>
                <w:rFonts w:ascii="Times New Roman UniToktom" w:hAnsi="Times New Roman UniToktom" w:cs="Times New Roman UniToktom"/>
                <w:b/>
                <w:i/>
                <w:sz w:val="18"/>
                <w:szCs w:val="18"/>
              </w:rPr>
              <w:t>ская</w:t>
            </w:r>
            <w:proofErr w:type="spellEnd"/>
            <w:r w:rsidRPr="00C44EE6">
              <w:rPr>
                <w:rFonts w:ascii="Times New Roman UniToktom" w:hAnsi="Times New Roman UniToktom" w:cs="Times New Roman UniToktom"/>
                <w:b/>
                <w:i/>
                <w:sz w:val="18"/>
                <w:szCs w:val="18"/>
              </w:rPr>
              <w:t xml:space="preserve"> </w:t>
            </w:r>
          </w:p>
          <w:p w14:paraId="5BCA807A" w14:textId="77777777" w:rsidR="00656550" w:rsidRPr="00C44EE6" w:rsidRDefault="00656550" w:rsidP="00FF3C2B">
            <w:pPr>
              <w:pStyle w:val="24"/>
              <w:rPr>
                <w:rFonts w:ascii="Times New Roman UniToktom" w:hAnsi="Times New Roman UniToktom" w:cs="Times New Roman UniToktom"/>
                <w:b/>
                <w:i/>
                <w:sz w:val="18"/>
                <w:szCs w:val="18"/>
              </w:rPr>
            </w:pPr>
            <w:r w:rsidRPr="00C44EE6">
              <w:rPr>
                <w:rFonts w:ascii="Times New Roman UniToktom" w:hAnsi="Times New Roman UniToktom" w:cs="Times New Roman UniToktom"/>
                <w:b/>
                <w:i/>
                <w:sz w:val="18"/>
                <w:szCs w:val="18"/>
              </w:rPr>
              <w:t xml:space="preserve">область </w:t>
            </w:r>
          </w:p>
        </w:tc>
      </w:tr>
      <w:tr w:rsidR="00C44EE6" w:rsidRPr="00C44EE6" w14:paraId="6DBC3818" w14:textId="77777777" w:rsidTr="00372228">
        <w:tc>
          <w:tcPr>
            <w:tcW w:w="1734" w:type="dxa"/>
            <w:tcBorders>
              <w:top w:val="nil"/>
              <w:left w:val="nil"/>
              <w:bottom w:val="nil"/>
              <w:right w:val="nil"/>
            </w:tcBorders>
          </w:tcPr>
          <w:p w14:paraId="2AACE560" w14:textId="77777777" w:rsidR="00656550" w:rsidRPr="00C44EE6" w:rsidRDefault="00656550" w:rsidP="00FF3C2B">
            <w:pPr>
              <w:pStyle w:val="24"/>
              <w:rPr>
                <w:rFonts w:ascii="Times New Roman UniToktom" w:hAnsi="Times New Roman UniToktom" w:cs="Times New Roman UniToktom"/>
                <w:sz w:val="18"/>
                <w:szCs w:val="18"/>
              </w:rPr>
            </w:pPr>
            <w:r w:rsidRPr="00C44EE6">
              <w:rPr>
                <w:rFonts w:ascii="Times New Roman UniToktom" w:hAnsi="Times New Roman UniToktom" w:cs="Times New Roman UniToktom"/>
                <w:sz w:val="18"/>
                <w:szCs w:val="18"/>
                <w:lang w:val="ky-KG"/>
              </w:rPr>
              <w:t>а</w:t>
            </w:r>
            <w:proofErr w:type="spellStart"/>
            <w:r w:rsidRPr="00C44EE6">
              <w:rPr>
                <w:rFonts w:ascii="Times New Roman UniToktom" w:hAnsi="Times New Roman UniToktom" w:cs="Times New Roman UniToktom"/>
                <w:sz w:val="18"/>
                <w:szCs w:val="18"/>
              </w:rPr>
              <w:t>нын</w:t>
            </w:r>
            <w:proofErr w:type="spellEnd"/>
            <w:r w:rsidRPr="00C44EE6">
              <w:rPr>
                <w:rFonts w:ascii="Times New Roman UniToktom" w:hAnsi="Times New Roman UniToktom" w:cs="Times New Roman UniToktom"/>
                <w:sz w:val="18"/>
                <w:szCs w:val="18"/>
              </w:rPr>
              <w:t xml:space="preserve"> </w:t>
            </w:r>
            <w:proofErr w:type="spellStart"/>
            <w:r w:rsidRPr="00C44EE6">
              <w:rPr>
                <w:rFonts w:ascii="Times New Roman UniToktom" w:hAnsi="Times New Roman UniToktom" w:cs="Times New Roman UniToktom"/>
                <w:sz w:val="18"/>
                <w:szCs w:val="18"/>
              </w:rPr>
              <w:t>ичине</w:t>
            </w:r>
            <w:proofErr w:type="spellEnd"/>
            <w:r w:rsidRPr="00C44EE6">
              <w:rPr>
                <w:rFonts w:ascii="Times New Roman UniToktom" w:hAnsi="Times New Roman UniToktom" w:cs="Times New Roman UniToktom"/>
                <w:sz w:val="18"/>
                <w:szCs w:val="18"/>
                <w:lang w:val="ky-KG"/>
              </w:rPr>
              <w:t>н:</w:t>
            </w:r>
          </w:p>
          <w:p w14:paraId="45E84B8D" w14:textId="77777777" w:rsidR="00656550" w:rsidRPr="00C44EE6" w:rsidRDefault="00656550" w:rsidP="00FF3C2B">
            <w:pPr>
              <w:pStyle w:val="24"/>
              <w:rPr>
                <w:rFonts w:ascii="Times New Roman UniToktom" w:hAnsi="Times New Roman UniToktom" w:cs="Times New Roman UniToktom"/>
                <w:sz w:val="18"/>
                <w:szCs w:val="18"/>
              </w:rPr>
            </w:pPr>
            <w:proofErr w:type="spellStart"/>
            <w:r w:rsidRPr="00C44EE6">
              <w:rPr>
                <w:rFonts w:ascii="Times New Roman UniToktom" w:hAnsi="Times New Roman UniToktom" w:cs="Times New Roman UniToktom"/>
                <w:sz w:val="18"/>
                <w:szCs w:val="18"/>
              </w:rPr>
              <w:t>райондор</w:t>
            </w:r>
            <w:proofErr w:type="spellEnd"/>
          </w:p>
        </w:tc>
        <w:tc>
          <w:tcPr>
            <w:tcW w:w="959" w:type="dxa"/>
            <w:tcBorders>
              <w:top w:val="nil"/>
              <w:left w:val="nil"/>
              <w:bottom w:val="nil"/>
              <w:right w:val="nil"/>
            </w:tcBorders>
            <w:vAlign w:val="center"/>
          </w:tcPr>
          <w:p w14:paraId="7BA72920" w14:textId="77777777" w:rsidR="00656550" w:rsidRPr="00C44EE6" w:rsidRDefault="00656550" w:rsidP="00FF3C2B">
            <w:pPr>
              <w:pStyle w:val="24"/>
              <w:jc w:val="right"/>
              <w:rPr>
                <w:rFonts w:ascii="Times New Roman UniToktom" w:hAnsi="Times New Roman UniToktom" w:cs="Times New Roman UniToktom"/>
                <w:sz w:val="18"/>
                <w:szCs w:val="18"/>
              </w:rPr>
            </w:pPr>
          </w:p>
        </w:tc>
        <w:tc>
          <w:tcPr>
            <w:tcW w:w="1167" w:type="dxa"/>
            <w:tcBorders>
              <w:top w:val="nil"/>
              <w:left w:val="nil"/>
              <w:bottom w:val="nil"/>
              <w:right w:val="nil"/>
            </w:tcBorders>
            <w:vAlign w:val="center"/>
          </w:tcPr>
          <w:p w14:paraId="56E1A6B6" w14:textId="77777777" w:rsidR="00656550" w:rsidRPr="00C44EE6" w:rsidRDefault="00656550" w:rsidP="00FF3C2B">
            <w:pPr>
              <w:pStyle w:val="24"/>
              <w:jc w:val="right"/>
              <w:rPr>
                <w:rFonts w:ascii="Times New Roman UniToktom" w:hAnsi="Times New Roman UniToktom" w:cs="Times New Roman UniToktom"/>
                <w:sz w:val="18"/>
                <w:szCs w:val="18"/>
              </w:rPr>
            </w:pPr>
          </w:p>
        </w:tc>
        <w:tc>
          <w:tcPr>
            <w:tcW w:w="959" w:type="dxa"/>
            <w:tcBorders>
              <w:top w:val="nil"/>
              <w:left w:val="nil"/>
              <w:bottom w:val="nil"/>
              <w:right w:val="nil"/>
            </w:tcBorders>
            <w:vAlign w:val="center"/>
          </w:tcPr>
          <w:p w14:paraId="29C57826" w14:textId="77777777" w:rsidR="00656550" w:rsidRPr="00C44EE6" w:rsidRDefault="00656550" w:rsidP="00FF3C2B">
            <w:pPr>
              <w:pStyle w:val="24"/>
              <w:jc w:val="right"/>
              <w:rPr>
                <w:rFonts w:ascii="Times New Roman UniToktom" w:hAnsi="Times New Roman UniToktom" w:cs="Times New Roman UniToktom"/>
                <w:sz w:val="18"/>
                <w:szCs w:val="18"/>
              </w:rPr>
            </w:pPr>
          </w:p>
        </w:tc>
        <w:tc>
          <w:tcPr>
            <w:tcW w:w="1134" w:type="dxa"/>
            <w:tcBorders>
              <w:top w:val="nil"/>
              <w:left w:val="nil"/>
              <w:bottom w:val="nil"/>
              <w:right w:val="nil"/>
            </w:tcBorders>
            <w:vAlign w:val="center"/>
          </w:tcPr>
          <w:p w14:paraId="179F1017" w14:textId="77777777" w:rsidR="00656550" w:rsidRPr="00C44EE6" w:rsidRDefault="00656550" w:rsidP="00FF3C2B">
            <w:pPr>
              <w:pStyle w:val="24"/>
              <w:jc w:val="right"/>
              <w:rPr>
                <w:rFonts w:ascii="Times New Roman UniToktom" w:hAnsi="Times New Roman UniToktom" w:cs="Times New Roman UniToktom"/>
                <w:sz w:val="18"/>
                <w:szCs w:val="18"/>
              </w:rPr>
            </w:pPr>
          </w:p>
        </w:tc>
        <w:tc>
          <w:tcPr>
            <w:tcW w:w="992" w:type="dxa"/>
            <w:tcBorders>
              <w:top w:val="nil"/>
              <w:left w:val="nil"/>
              <w:bottom w:val="nil"/>
              <w:right w:val="nil"/>
            </w:tcBorders>
            <w:vAlign w:val="center"/>
          </w:tcPr>
          <w:p w14:paraId="4C39045E" w14:textId="77777777" w:rsidR="00656550" w:rsidRPr="00C44EE6" w:rsidRDefault="00656550" w:rsidP="00FF3C2B">
            <w:pPr>
              <w:pStyle w:val="24"/>
              <w:jc w:val="right"/>
              <w:rPr>
                <w:rFonts w:ascii="Times New Roman UniToktom" w:hAnsi="Times New Roman UniToktom" w:cs="Times New Roman UniToktom"/>
                <w:sz w:val="18"/>
                <w:szCs w:val="18"/>
              </w:rPr>
            </w:pPr>
          </w:p>
        </w:tc>
        <w:tc>
          <w:tcPr>
            <w:tcW w:w="1134" w:type="dxa"/>
            <w:tcBorders>
              <w:top w:val="nil"/>
              <w:left w:val="nil"/>
              <w:bottom w:val="nil"/>
              <w:right w:val="nil"/>
            </w:tcBorders>
            <w:vAlign w:val="center"/>
          </w:tcPr>
          <w:p w14:paraId="426964F6" w14:textId="77777777" w:rsidR="00656550" w:rsidRPr="00C44EE6" w:rsidRDefault="00656550" w:rsidP="00FF3C2B">
            <w:pPr>
              <w:pStyle w:val="24"/>
              <w:jc w:val="right"/>
              <w:rPr>
                <w:rFonts w:ascii="Times New Roman UniToktom" w:hAnsi="Times New Roman UniToktom" w:cs="Times New Roman UniToktom"/>
                <w:sz w:val="18"/>
                <w:szCs w:val="18"/>
              </w:rPr>
            </w:pPr>
          </w:p>
        </w:tc>
        <w:tc>
          <w:tcPr>
            <w:tcW w:w="1594" w:type="dxa"/>
            <w:gridSpan w:val="2"/>
            <w:tcBorders>
              <w:top w:val="nil"/>
              <w:left w:val="nil"/>
              <w:bottom w:val="nil"/>
              <w:right w:val="nil"/>
            </w:tcBorders>
          </w:tcPr>
          <w:p w14:paraId="605310E6" w14:textId="77777777" w:rsidR="00656550" w:rsidRPr="00C44EE6" w:rsidRDefault="00656550" w:rsidP="00FF3C2B">
            <w:pPr>
              <w:pStyle w:val="24"/>
              <w:rPr>
                <w:rFonts w:ascii="Times New Roman UniToktom" w:hAnsi="Times New Roman UniToktom" w:cs="Times New Roman UniToktom"/>
                <w:i/>
                <w:sz w:val="18"/>
                <w:szCs w:val="18"/>
              </w:rPr>
            </w:pPr>
            <w:r w:rsidRPr="00C44EE6">
              <w:rPr>
                <w:rFonts w:ascii="Times New Roman UniToktom" w:hAnsi="Times New Roman UniToktom" w:cs="Times New Roman UniToktom"/>
                <w:i/>
                <w:sz w:val="18"/>
                <w:szCs w:val="18"/>
              </w:rPr>
              <w:t>в т</w:t>
            </w:r>
            <w:r w:rsidRPr="00C44EE6">
              <w:rPr>
                <w:rFonts w:ascii="Times New Roman UniToktom" w:hAnsi="Times New Roman UniToktom" w:cs="Times New Roman UniToktom"/>
                <w:i/>
                <w:sz w:val="18"/>
                <w:szCs w:val="18"/>
                <w:lang w:val="ky-KG"/>
              </w:rPr>
              <w:t>ом</w:t>
            </w:r>
            <w:r w:rsidRPr="00C44EE6">
              <w:rPr>
                <w:rFonts w:ascii="Times New Roman UniToktom" w:hAnsi="Times New Roman UniToktom" w:cs="Times New Roman UniToktom"/>
                <w:i/>
                <w:sz w:val="18"/>
                <w:szCs w:val="18"/>
              </w:rPr>
              <w:t xml:space="preserve"> ч</w:t>
            </w:r>
            <w:r w:rsidRPr="00C44EE6">
              <w:rPr>
                <w:rFonts w:ascii="Times New Roman UniToktom" w:hAnsi="Times New Roman UniToktom" w:cs="Times New Roman UniToktom"/>
                <w:i/>
                <w:sz w:val="18"/>
                <w:szCs w:val="18"/>
                <w:lang w:val="ky-KG"/>
              </w:rPr>
              <w:t>исле: р</w:t>
            </w:r>
            <w:proofErr w:type="spellStart"/>
            <w:r w:rsidRPr="00C44EE6">
              <w:rPr>
                <w:rFonts w:ascii="Times New Roman UniToktom" w:hAnsi="Times New Roman UniToktom" w:cs="Times New Roman UniToktom"/>
                <w:i/>
                <w:sz w:val="18"/>
                <w:szCs w:val="18"/>
              </w:rPr>
              <w:t>айоны</w:t>
            </w:r>
            <w:proofErr w:type="spellEnd"/>
          </w:p>
        </w:tc>
      </w:tr>
      <w:tr w:rsidR="00C44EE6" w:rsidRPr="00C44EE6" w14:paraId="2B1C4BF7" w14:textId="77777777" w:rsidTr="00372228">
        <w:tc>
          <w:tcPr>
            <w:tcW w:w="1734" w:type="dxa"/>
            <w:tcBorders>
              <w:top w:val="nil"/>
              <w:left w:val="nil"/>
              <w:bottom w:val="nil"/>
              <w:right w:val="nil"/>
            </w:tcBorders>
          </w:tcPr>
          <w:p w14:paraId="68C0EA2D" w14:textId="77777777" w:rsidR="00656550" w:rsidRPr="00C44EE6" w:rsidRDefault="00656550" w:rsidP="00FF3C2B">
            <w:pPr>
              <w:pStyle w:val="24"/>
              <w:jc w:val="both"/>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 xml:space="preserve">Аксы </w:t>
            </w:r>
          </w:p>
        </w:tc>
        <w:tc>
          <w:tcPr>
            <w:tcW w:w="959" w:type="dxa"/>
            <w:tcBorders>
              <w:top w:val="nil"/>
              <w:left w:val="nil"/>
              <w:bottom w:val="nil"/>
              <w:right w:val="nil"/>
            </w:tcBorders>
            <w:vAlign w:val="bottom"/>
          </w:tcPr>
          <w:p w14:paraId="4BE4AB1F" w14:textId="52A0F7CF"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72</w:t>
            </w:r>
          </w:p>
        </w:tc>
        <w:tc>
          <w:tcPr>
            <w:tcW w:w="1167" w:type="dxa"/>
            <w:tcBorders>
              <w:top w:val="nil"/>
              <w:left w:val="nil"/>
              <w:bottom w:val="nil"/>
              <w:right w:val="nil"/>
            </w:tcBorders>
            <w:vAlign w:val="bottom"/>
          </w:tcPr>
          <w:p w14:paraId="1E8597E2" w14:textId="19FF680D"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-246,3</w:t>
            </w:r>
          </w:p>
        </w:tc>
        <w:tc>
          <w:tcPr>
            <w:tcW w:w="959" w:type="dxa"/>
            <w:tcBorders>
              <w:top w:val="nil"/>
              <w:left w:val="nil"/>
              <w:bottom w:val="nil"/>
              <w:right w:val="nil"/>
            </w:tcBorders>
            <w:vAlign w:val="bottom"/>
          </w:tcPr>
          <w:p w14:paraId="062087DB" w14:textId="2FBFB0A7"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55</w:t>
            </w:r>
          </w:p>
        </w:tc>
        <w:tc>
          <w:tcPr>
            <w:tcW w:w="1134" w:type="dxa"/>
            <w:tcBorders>
              <w:top w:val="nil"/>
              <w:left w:val="nil"/>
              <w:bottom w:val="nil"/>
              <w:right w:val="nil"/>
            </w:tcBorders>
            <w:vAlign w:val="bottom"/>
          </w:tcPr>
          <w:p w14:paraId="29088C5D" w14:textId="17CB8B1A"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38,7</w:t>
            </w:r>
          </w:p>
        </w:tc>
        <w:tc>
          <w:tcPr>
            <w:tcW w:w="992" w:type="dxa"/>
            <w:tcBorders>
              <w:top w:val="nil"/>
              <w:left w:val="nil"/>
              <w:bottom w:val="nil"/>
              <w:right w:val="nil"/>
            </w:tcBorders>
            <w:vAlign w:val="bottom"/>
          </w:tcPr>
          <w:p w14:paraId="47FDA147" w14:textId="76A41778"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6</w:t>
            </w:r>
          </w:p>
        </w:tc>
        <w:tc>
          <w:tcPr>
            <w:tcW w:w="1134" w:type="dxa"/>
            <w:tcBorders>
              <w:top w:val="nil"/>
              <w:left w:val="nil"/>
              <w:bottom w:val="nil"/>
              <w:right w:val="nil"/>
            </w:tcBorders>
            <w:vAlign w:val="bottom"/>
          </w:tcPr>
          <w:p w14:paraId="6821044C" w14:textId="1ED7FC1E"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-285,1</w:t>
            </w:r>
          </w:p>
        </w:tc>
        <w:tc>
          <w:tcPr>
            <w:tcW w:w="1594" w:type="dxa"/>
            <w:gridSpan w:val="2"/>
            <w:tcBorders>
              <w:top w:val="nil"/>
              <w:left w:val="nil"/>
              <w:bottom w:val="nil"/>
              <w:right w:val="nil"/>
            </w:tcBorders>
          </w:tcPr>
          <w:p w14:paraId="55AEB9D7" w14:textId="77777777" w:rsidR="00656550" w:rsidRPr="00C44EE6" w:rsidRDefault="00656550" w:rsidP="00FF3C2B">
            <w:pPr>
              <w:pStyle w:val="24"/>
              <w:jc w:val="both"/>
              <w:rPr>
                <w:rFonts w:ascii="Times New Roman UniToktom" w:hAnsi="Times New Roman UniToktom" w:cs="Times New Roman UniToktom"/>
                <w:i/>
                <w:sz w:val="18"/>
                <w:szCs w:val="18"/>
                <w:lang w:val="ky-KG"/>
              </w:rPr>
            </w:pPr>
            <w:r w:rsidRPr="00C44EE6">
              <w:rPr>
                <w:rFonts w:ascii="Times New Roman UniToktom" w:hAnsi="Times New Roman UniToktom" w:cs="Times New Roman UniToktom"/>
                <w:i/>
                <w:sz w:val="18"/>
                <w:szCs w:val="18"/>
                <w:lang w:val="ky-KG"/>
              </w:rPr>
              <w:t xml:space="preserve">Аксы </w:t>
            </w:r>
          </w:p>
        </w:tc>
      </w:tr>
      <w:tr w:rsidR="00C44EE6" w:rsidRPr="008E60A9" w14:paraId="1C072BA3" w14:textId="77777777" w:rsidTr="00372228">
        <w:tc>
          <w:tcPr>
            <w:tcW w:w="1734" w:type="dxa"/>
            <w:tcBorders>
              <w:top w:val="nil"/>
              <w:left w:val="nil"/>
              <w:bottom w:val="nil"/>
              <w:right w:val="nil"/>
            </w:tcBorders>
          </w:tcPr>
          <w:p w14:paraId="779B1AEB" w14:textId="77777777" w:rsidR="00656550" w:rsidRPr="00C44EE6" w:rsidRDefault="00656550" w:rsidP="00FF3C2B">
            <w:pPr>
              <w:pStyle w:val="24"/>
              <w:jc w:val="both"/>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а.и.Кербен ш.</w:t>
            </w:r>
          </w:p>
        </w:tc>
        <w:tc>
          <w:tcPr>
            <w:tcW w:w="959" w:type="dxa"/>
            <w:tcBorders>
              <w:top w:val="nil"/>
              <w:left w:val="nil"/>
              <w:bottom w:val="nil"/>
              <w:right w:val="nil"/>
            </w:tcBorders>
            <w:vAlign w:val="bottom"/>
          </w:tcPr>
          <w:p w14:paraId="1464A18F" w14:textId="2EC33669"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31</w:t>
            </w:r>
          </w:p>
        </w:tc>
        <w:tc>
          <w:tcPr>
            <w:tcW w:w="1167" w:type="dxa"/>
            <w:tcBorders>
              <w:top w:val="nil"/>
              <w:left w:val="nil"/>
              <w:bottom w:val="nil"/>
              <w:right w:val="nil"/>
            </w:tcBorders>
            <w:vAlign w:val="bottom"/>
          </w:tcPr>
          <w:p w14:paraId="7396ABE9" w14:textId="67C246E1"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9,0</w:t>
            </w:r>
          </w:p>
        </w:tc>
        <w:tc>
          <w:tcPr>
            <w:tcW w:w="959" w:type="dxa"/>
            <w:tcBorders>
              <w:top w:val="nil"/>
              <w:left w:val="nil"/>
              <w:bottom w:val="nil"/>
              <w:right w:val="nil"/>
            </w:tcBorders>
            <w:vAlign w:val="bottom"/>
          </w:tcPr>
          <w:p w14:paraId="764DF5FD" w14:textId="0662A491"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22</w:t>
            </w:r>
          </w:p>
        </w:tc>
        <w:tc>
          <w:tcPr>
            <w:tcW w:w="1134" w:type="dxa"/>
            <w:tcBorders>
              <w:top w:val="nil"/>
              <w:left w:val="nil"/>
              <w:bottom w:val="nil"/>
              <w:right w:val="nil"/>
            </w:tcBorders>
            <w:vAlign w:val="bottom"/>
          </w:tcPr>
          <w:p w14:paraId="27E2DDED" w14:textId="33D0D8C4"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9,3</w:t>
            </w:r>
          </w:p>
        </w:tc>
        <w:tc>
          <w:tcPr>
            <w:tcW w:w="992" w:type="dxa"/>
            <w:tcBorders>
              <w:top w:val="nil"/>
              <w:left w:val="nil"/>
              <w:bottom w:val="nil"/>
              <w:right w:val="nil"/>
            </w:tcBorders>
            <w:vAlign w:val="bottom"/>
          </w:tcPr>
          <w:p w14:paraId="4568A00B" w14:textId="6E18A068"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3</w:t>
            </w:r>
          </w:p>
        </w:tc>
        <w:tc>
          <w:tcPr>
            <w:tcW w:w="1134" w:type="dxa"/>
            <w:tcBorders>
              <w:top w:val="nil"/>
              <w:left w:val="nil"/>
              <w:bottom w:val="nil"/>
              <w:right w:val="nil"/>
            </w:tcBorders>
            <w:vAlign w:val="bottom"/>
          </w:tcPr>
          <w:p w14:paraId="59D0A2C2" w14:textId="611D81C2"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-0,2</w:t>
            </w:r>
          </w:p>
        </w:tc>
        <w:tc>
          <w:tcPr>
            <w:tcW w:w="1594" w:type="dxa"/>
            <w:gridSpan w:val="2"/>
            <w:tcBorders>
              <w:top w:val="nil"/>
              <w:left w:val="nil"/>
              <w:bottom w:val="nil"/>
              <w:right w:val="nil"/>
            </w:tcBorders>
          </w:tcPr>
          <w:p w14:paraId="3400C15F" w14:textId="77777777" w:rsidR="00656550" w:rsidRPr="00C44EE6" w:rsidRDefault="00656550" w:rsidP="00FF3C2B">
            <w:pPr>
              <w:pStyle w:val="24"/>
              <w:jc w:val="both"/>
              <w:rPr>
                <w:rFonts w:ascii="Times New Roman UniToktom" w:hAnsi="Times New Roman UniToktom" w:cs="Times New Roman UniToktom"/>
                <w:i/>
                <w:sz w:val="18"/>
                <w:szCs w:val="18"/>
                <w:lang w:val="ky-KG"/>
              </w:rPr>
            </w:pPr>
            <w:r w:rsidRPr="00C44EE6">
              <w:rPr>
                <w:rFonts w:ascii="Times New Roman UniToktom" w:hAnsi="Times New Roman UniToktom" w:cs="Times New Roman UniToktom"/>
                <w:i/>
                <w:sz w:val="18"/>
                <w:szCs w:val="18"/>
                <w:lang w:val="ky-KG"/>
              </w:rPr>
              <w:t xml:space="preserve">в.т.ч.г.Кербен </w:t>
            </w:r>
          </w:p>
        </w:tc>
      </w:tr>
      <w:tr w:rsidR="00C44EE6" w:rsidRPr="00C44EE6" w14:paraId="790E92A7" w14:textId="77777777" w:rsidTr="00372228">
        <w:tc>
          <w:tcPr>
            <w:tcW w:w="1734" w:type="dxa"/>
            <w:tcBorders>
              <w:top w:val="nil"/>
              <w:left w:val="nil"/>
              <w:bottom w:val="nil"/>
              <w:right w:val="nil"/>
            </w:tcBorders>
          </w:tcPr>
          <w:p w14:paraId="5A21C2B0" w14:textId="77777777" w:rsidR="00656550" w:rsidRPr="00C44EE6" w:rsidRDefault="00656550" w:rsidP="00FF3C2B">
            <w:pPr>
              <w:pStyle w:val="24"/>
              <w:jc w:val="both"/>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 xml:space="preserve">Ала-Бука </w:t>
            </w:r>
          </w:p>
        </w:tc>
        <w:tc>
          <w:tcPr>
            <w:tcW w:w="959" w:type="dxa"/>
            <w:tcBorders>
              <w:top w:val="nil"/>
              <w:left w:val="nil"/>
              <w:bottom w:val="nil"/>
              <w:right w:val="nil"/>
            </w:tcBorders>
            <w:vAlign w:val="bottom"/>
          </w:tcPr>
          <w:p w14:paraId="5C36B5CC" w14:textId="57B4252E"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99</w:t>
            </w:r>
          </w:p>
        </w:tc>
        <w:tc>
          <w:tcPr>
            <w:tcW w:w="1167" w:type="dxa"/>
            <w:tcBorders>
              <w:top w:val="nil"/>
              <w:left w:val="nil"/>
              <w:bottom w:val="nil"/>
              <w:right w:val="nil"/>
            </w:tcBorders>
            <w:vAlign w:val="bottom"/>
          </w:tcPr>
          <w:p w14:paraId="39E94779" w14:textId="13CFC3E1"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769,8</w:t>
            </w:r>
          </w:p>
        </w:tc>
        <w:tc>
          <w:tcPr>
            <w:tcW w:w="959" w:type="dxa"/>
            <w:tcBorders>
              <w:top w:val="nil"/>
              <w:left w:val="nil"/>
              <w:bottom w:val="nil"/>
              <w:right w:val="nil"/>
            </w:tcBorders>
            <w:vAlign w:val="bottom"/>
          </w:tcPr>
          <w:p w14:paraId="4567CA2B" w14:textId="4F43CE9F"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69</w:t>
            </w:r>
          </w:p>
        </w:tc>
        <w:tc>
          <w:tcPr>
            <w:tcW w:w="1134" w:type="dxa"/>
            <w:tcBorders>
              <w:top w:val="nil"/>
              <w:left w:val="nil"/>
              <w:bottom w:val="nil"/>
              <w:right w:val="nil"/>
            </w:tcBorders>
            <w:vAlign w:val="bottom"/>
          </w:tcPr>
          <w:p w14:paraId="39C3ABF6" w14:textId="397A79CA"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770,4</w:t>
            </w:r>
          </w:p>
        </w:tc>
        <w:tc>
          <w:tcPr>
            <w:tcW w:w="992" w:type="dxa"/>
            <w:tcBorders>
              <w:top w:val="nil"/>
              <w:left w:val="nil"/>
              <w:bottom w:val="nil"/>
              <w:right w:val="nil"/>
            </w:tcBorders>
            <w:vAlign w:val="bottom"/>
          </w:tcPr>
          <w:p w14:paraId="22A8DC21" w14:textId="2A9F120D"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3</w:t>
            </w:r>
          </w:p>
        </w:tc>
        <w:tc>
          <w:tcPr>
            <w:tcW w:w="1134" w:type="dxa"/>
            <w:tcBorders>
              <w:top w:val="nil"/>
              <w:left w:val="nil"/>
              <w:bottom w:val="nil"/>
              <w:right w:val="nil"/>
            </w:tcBorders>
            <w:vAlign w:val="bottom"/>
          </w:tcPr>
          <w:p w14:paraId="431196B6" w14:textId="28BE5A9C"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-0,6</w:t>
            </w:r>
          </w:p>
        </w:tc>
        <w:tc>
          <w:tcPr>
            <w:tcW w:w="1594" w:type="dxa"/>
            <w:gridSpan w:val="2"/>
            <w:tcBorders>
              <w:top w:val="nil"/>
              <w:left w:val="nil"/>
              <w:bottom w:val="nil"/>
              <w:right w:val="nil"/>
            </w:tcBorders>
          </w:tcPr>
          <w:p w14:paraId="14CF8ADA" w14:textId="77777777" w:rsidR="00656550" w:rsidRPr="00C44EE6" w:rsidRDefault="00656550" w:rsidP="00FF3C2B">
            <w:pPr>
              <w:pStyle w:val="24"/>
              <w:jc w:val="both"/>
              <w:rPr>
                <w:rFonts w:ascii="Times New Roman UniToktom" w:hAnsi="Times New Roman UniToktom" w:cs="Times New Roman UniToktom"/>
                <w:i/>
                <w:sz w:val="18"/>
                <w:szCs w:val="18"/>
                <w:lang w:val="ky-KG"/>
              </w:rPr>
            </w:pPr>
            <w:r w:rsidRPr="00C44EE6">
              <w:rPr>
                <w:rFonts w:ascii="Times New Roman UniToktom" w:hAnsi="Times New Roman UniToktom" w:cs="Times New Roman UniToktom"/>
                <w:i/>
                <w:sz w:val="18"/>
                <w:szCs w:val="18"/>
                <w:lang w:val="ky-KG"/>
              </w:rPr>
              <w:t xml:space="preserve">Ала-Бука </w:t>
            </w:r>
          </w:p>
        </w:tc>
      </w:tr>
      <w:tr w:rsidR="00C44EE6" w:rsidRPr="00C44EE6" w14:paraId="6F2C549A" w14:textId="77777777" w:rsidTr="00372228">
        <w:tc>
          <w:tcPr>
            <w:tcW w:w="1734" w:type="dxa"/>
            <w:tcBorders>
              <w:top w:val="nil"/>
              <w:left w:val="nil"/>
              <w:bottom w:val="nil"/>
              <w:right w:val="nil"/>
            </w:tcBorders>
          </w:tcPr>
          <w:p w14:paraId="3F1CF91E" w14:textId="77777777" w:rsidR="00656550" w:rsidRPr="00C44EE6" w:rsidRDefault="00656550" w:rsidP="00FF3C2B">
            <w:pPr>
              <w:pStyle w:val="24"/>
              <w:jc w:val="both"/>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Базар-Коргон</w:t>
            </w:r>
          </w:p>
        </w:tc>
        <w:tc>
          <w:tcPr>
            <w:tcW w:w="959" w:type="dxa"/>
            <w:tcBorders>
              <w:top w:val="nil"/>
              <w:left w:val="nil"/>
              <w:bottom w:val="nil"/>
              <w:right w:val="nil"/>
            </w:tcBorders>
            <w:vAlign w:val="bottom"/>
          </w:tcPr>
          <w:p w14:paraId="558DD5D4" w14:textId="0053F73A"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98</w:t>
            </w:r>
          </w:p>
        </w:tc>
        <w:tc>
          <w:tcPr>
            <w:tcW w:w="1167" w:type="dxa"/>
            <w:tcBorders>
              <w:top w:val="nil"/>
              <w:left w:val="nil"/>
              <w:bottom w:val="nil"/>
              <w:right w:val="nil"/>
            </w:tcBorders>
            <w:vAlign w:val="bottom"/>
          </w:tcPr>
          <w:p w14:paraId="3D510F5E" w14:textId="11D00C3E"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76,1</w:t>
            </w:r>
          </w:p>
        </w:tc>
        <w:tc>
          <w:tcPr>
            <w:tcW w:w="959" w:type="dxa"/>
            <w:tcBorders>
              <w:top w:val="nil"/>
              <w:left w:val="nil"/>
              <w:bottom w:val="nil"/>
              <w:right w:val="nil"/>
            </w:tcBorders>
            <w:vAlign w:val="bottom"/>
          </w:tcPr>
          <w:p w14:paraId="69C74B75" w14:textId="42351E2B"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84</w:t>
            </w:r>
          </w:p>
        </w:tc>
        <w:tc>
          <w:tcPr>
            <w:tcW w:w="1134" w:type="dxa"/>
            <w:tcBorders>
              <w:top w:val="nil"/>
              <w:left w:val="nil"/>
              <w:bottom w:val="nil"/>
              <w:right w:val="nil"/>
            </w:tcBorders>
            <w:vAlign w:val="bottom"/>
          </w:tcPr>
          <w:p w14:paraId="1DA6BE31" w14:textId="4DD9731B"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81,1</w:t>
            </w:r>
          </w:p>
        </w:tc>
        <w:tc>
          <w:tcPr>
            <w:tcW w:w="992" w:type="dxa"/>
            <w:tcBorders>
              <w:top w:val="nil"/>
              <w:left w:val="nil"/>
              <w:bottom w:val="nil"/>
              <w:right w:val="nil"/>
            </w:tcBorders>
            <w:vAlign w:val="bottom"/>
          </w:tcPr>
          <w:p w14:paraId="20DB2CDA" w14:textId="2A21AFCC"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5</w:t>
            </w:r>
          </w:p>
        </w:tc>
        <w:tc>
          <w:tcPr>
            <w:tcW w:w="1134" w:type="dxa"/>
            <w:tcBorders>
              <w:top w:val="nil"/>
              <w:left w:val="nil"/>
              <w:bottom w:val="nil"/>
              <w:right w:val="nil"/>
            </w:tcBorders>
            <w:vAlign w:val="bottom"/>
          </w:tcPr>
          <w:p w14:paraId="135472E0" w14:textId="206C61DF"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-4,9</w:t>
            </w:r>
          </w:p>
        </w:tc>
        <w:tc>
          <w:tcPr>
            <w:tcW w:w="1594" w:type="dxa"/>
            <w:gridSpan w:val="2"/>
            <w:tcBorders>
              <w:top w:val="nil"/>
              <w:left w:val="nil"/>
              <w:bottom w:val="nil"/>
              <w:right w:val="nil"/>
            </w:tcBorders>
          </w:tcPr>
          <w:p w14:paraId="29C7C063" w14:textId="77777777" w:rsidR="00656550" w:rsidRPr="00C44EE6" w:rsidRDefault="00656550" w:rsidP="00FF3C2B">
            <w:pPr>
              <w:pStyle w:val="24"/>
              <w:jc w:val="both"/>
              <w:rPr>
                <w:rFonts w:ascii="Times New Roman UniToktom" w:hAnsi="Times New Roman UniToktom" w:cs="Times New Roman UniToktom"/>
                <w:i/>
                <w:sz w:val="18"/>
                <w:szCs w:val="18"/>
                <w:lang w:val="ky-KG"/>
              </w:rPr>
            </w:pPr>
            <w:r w:rsidRPr="00C44EE6">
              <w:rPr>
                <w:rFonts w:ascii="Times New Roman UniToktom" w:hAnsi="Times New Roman UniToktom" w:cs="Times New Roman UniToktom"/>
                <w:i/>
                <w:sz w:val="18"/>
                <w:szCs w:val="18"/>
                <w:lang w:val="ky-KG"/>
              </w:rPr>
              <w:t>Базар-Коргон</w:t>
            </w:r>
          </w:p>
        </w:tc>
      </w:tr>
      <w:tr w:rsidR="00C44EE6" w:rsidRPr="00C44EE6" w14:paraId="4B5F0045" w14:textId="77777777" w:rsidTr="00372228">
        <w:tc>
          <w:tcPr>
            <w:tcW w:w="1734" w:type="dxa"/>
            <w:tcBorders>
              <w:top w:val="nil"/>
              <w:left w:val="nil"/>
              <w:bottom w:val="nil"/>
              <w:right w:val="nil"/>
            </w:tcBorders>
          </w:tcPr>
          <w:p w14:paraId="12B69275" w14:textId="77777777" w:rsidR="00656550" w:rsidRPr="00C44EE6" w:rsidRDefault="00656550" w:rsidP="00FF3C2B">
            <w:pPr>
              <w:pStyle w:val="24"/>
              <w:jc w:val="both"/>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Ноокен</w:t>
            </w:r>
          </w:p>
        </w:tc>
        <w:tc>
          <w:tcPr>
            <w:tcW w:w="959" w:type="dxa"/>
            <w:tcBorders>
              <w:top w:val="nil"/>
              <w:left w:val="nil"/>
              <w:bottom w:val="nil"/>
              <w:right w:val="nil"/>
            </w:tcBorders>
            <w:vAlign w:val="bottom"/>
          </w:tcPr>
          <w:p w14:paraId="011D4562" w14:textId="2D961EBA"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89</w:t>
            </w:r>
          </w:p>
        </w:tc>
        <w:tc>
          <w:tcPr>
            <w:tcW w:w="1167" w:type="dxa"/>
            <w:tcBorders>
              <w:top w:val="nil"/>
              <w:left w:val="nil"/>
              <w:bottom w:val="nil"/>
              <w:right w:val="nil"/>
            </w:tcBorders>
            <w:vAlign w:val="bottom"/>
          </w:tcPr>
          <w:p w14:paraId="5AFB80E4" w14:textId="79EE47D1"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3 040,4</w:t>
            </w:r>
          </w:p>
        </w:tc>
        <w:tc>
          <w:tcPr>
            <w:tcW w:w="959" w:type="dxa"/>
            <w:tcBorders>
              <w:top w:val="nil"/>
              <w:left w:val="nil"/>
              <w:bottom w:val="nil"/>
              <w:right w:val="nil"/>
            </w:tcBorders>
            <w:vAlign w:val="bottom"/>
          </w:tcPr>
          <w:p w14:paraId="7D8C7ED2" w14:textId="2C799C84"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57</w:t>
            </w:r>
          </w:p>
        </w:tc>
        <w:tc>
          <w:tcPr>
            <w:tcW w:w="1134" w:type="dxa"/>
            <w:tcBorders>
              <w:top w:val="nil"/>
              <w:left w:val="nil"/>
              <w:bottom w:val="nil"/>
              <w:right w:val="nil"/>
            </w:tcBorders>
            <w:vAlign w:val="bottom"/>
          </w:tcPr>
          <w:p w14:paraId="11EA3B59" w14:textId="1A4D5C24"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3 309,9</w:t>
            </w:r>
          </w:p>
        </w:tc>
        <w:tc>
          <w:tcPr>
            <w:tcW w:w="992" w:type="dxa"/>
            <w:tcBorders>
              <w:top w:val="nil"/>
              <w:left w:val="nil"/>
              <w:bottom w:val="nil"/>
              <w:right w:val="nil"/>
            </w:tcBorders>
            <w:vAlign w:val="bottom"/>
          </w:tcPr>
          <w:p w14:paraId="61F37EF3" w14:textId="0A4C91F9"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15</w:t>
            </w:r>
          </w:p>
        </w:tc>
        <w:tc>
          <w:tcPr>
            <w:tcW w:w="1134" w:type="dxa"/>
            <w:tcBorders>
              <w:top w:val="nil"/>
              <w:left w:val="nil"/>
              <w:bottom w:val="nil"/>
              <w:right w:val="nil"/>
            </w:tcBorders>
            <w:vAlign w:val="bottom"/>
          </w:tcPr>
          <w:p w14:paraId="555A2444" w14:textId="573265D4"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-269,4</w:t>
            </w:r>
          </w:p>
        </w:tc>
        <w:tc>
          <w:tcPr>
            <w:tcW w:w="1594" w:type="dxa"/>
            <w:gridSpan w:val="2"/>
            <w:tcBorders>
              <w:top w:val="nil"/>
              <w:left w:val="nil"/>
              <w:bottom w:val="nil"/>
              <w:right w:val="nil"/>
            </w:tcBorders>
          </w:tcPr>
          <w:p w14:paraId="7E2E256F" w14:textId="77777777" w:rsidR="00656550" w:rsidRPr="00C44EE6" w:rsidRDefault="00656550" w:rsidP="00FF3C2B">
            <w:pPr>
              <w:pStyle w:val="24"/>
              <w:jc w:val="both"/>
              <w:rPr>
                <w:rFonts w:ascii="Times New Roman UniToktom" w:hAnsi="Times New Roman UniToktom" w:cs="Times New Roman UniToktom"/>
                <w:i/>
                <w:sz w:val="18"/>
                <w:szCs w:val="18"/>
                <w:lang w:val="ky-KG"/>
              </w:rPr>
            </w:pPr>
            <w:r w:rsidRPr="00C44EE6">
              <w:rPr>
                <w:rFonts w:ascii="Times New Roman UniToktom" w:hAnsi="Times New Roman UniToktom" w:cs="Times New Roman UniToktom"/>
                <w:i/>
                <w:sz w:val="18"/>
                <w:szCs w:val="18"/>
                <w:lang w:val="ky-KG"/>
              </w:rPr>
              <w:t>Ноокен</w:t>
            </w:r>
          </w:p>
        </w:tc>
      </w:tr>
      <w:tr w:rsidR="00C44EE6" w:rsidRPr="008E60A9" w14:paraId="2B41A203" w14:textId="77777777" w:rsidTr="00372228">
        <w:tc>
          <w:tcPr>
            <w:tcW w:w="1734" w:type="dxa"/>
            <w:tcBorders>
              <w:top w:val="nil"/>
              <w:left w:val="nil"/>
              <w:bottom w:val="nil"/>
              <w:right w:val="nil"/>
            </w:tcBorders>
          </w:tcPr>
          <w:p w14:paraId="169A351B" w14:textId="77777777" w:rsidR="00656550" w:rsidRPr="00C44EE6" w:rsidRDefault="00656550" w:rsidP="00FF3C2B">
            <w:pPr>
              <w:pStyle w:val="24"/>
              <w:jc w:val="both"/>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а.и.Кочкор-Ата</w:t>
            </w:r>
          </w:p>
        </w:tc>
        <w:tc>
          <w:tcPr>
            <w:tcW w:w="959" w:type="dxa"/>
            <w:tcBorders>
              <w:top w:val="nil"/>
              <w:left w:val="nil"/>
              <w:bottom w:val="nil"/>
              <w:right w:val="nil"/>
            </w:tcBorders>
            <w:vAlign w:val="bottom"/>
          </w:tcPr>
          <w:p w14:paraId="34F3FEB6" w14:textId="215AE653"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40</w:t>
            </w:r>
          </w:p>
        </w:tc>
        <w:tc>
          <w:tcPr>
            <w:tcW w:w="1167" w:type="dxa"/>
            <w:tcBorders>
              <w:top w:val="nil"/>
              <w:left w:val="nil"/>
              <w:bottom w:val="nil"/>
              <w:right w:val="nil"/>
            </w:tcBorders>
            <w:vAlign w:val="bottom"/>
          </w:tcPr>
          <w:p w14:paraId="0F7F64E9" w14:textId="1680138D"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2 860,9</w:t>
            </w:r>
          </w:p>
        </w:tc>
        <w:tc>
          <w:tcPr>
            <w:tcW w:w="959" w:type="dxa"/>
            <w:tcBorders>
              <w:top w:val="nil"/>
              <w:left w:val="nil"/>
              <w:bottom w:val="nil"/>
              <w:right w:val="nil"/>
            </w:tcBorders>
            <w:vAlign w:val="bottom"/>
          </w:tcPr>
          <w:p w14:paraId="254EFB7D" w14:textId="65D801A6"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28</w:t>
            </w:r>
          </w:p>
        </w:tc>
        <w:tc>
          <w:tcPr>
            <w:tcW w:w="1134" w:type="dxa"/>
            <w:tcBorders>
              <w:top w:val="nil"/>
              <w:left w:val="nil"/>
              <w:bottom w:val="nil"/>
              <w:right w:val="nil"/>
            </w:tcBorders>
            <w:vAlign w:val="bottom"/>
          </w:tcPr>
          <w:p w14:paraId="6212B0C4" w14:textId="1CF9E535"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3 125,0</w:t>
            </w:r>
          </w:p>
        </w:tc>
        <w:tc>
          <w:tcPr>
            <w:tcW w:w="992" w:type="dxa"/>
            <w:tcBorders>
              <w:top w:val="nil"/>
              <w:left w:val="nil"/>
              <w:bottom w:val="nil"/>
              <w:right w:val="nil"/>
            </w:tcBorders>
            <w:vAlign w:val="bottom"/>
          </w:tcPr>
          <w:p w14:paraId="02143E8D" w14:textId="39DAD548"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9</w:t>
            </w:r>
          </w:p>
        </w:tc>
        <w:tc>
          <w:tcPr>
            <w:tcW w:w="1134" w:type="dxa"/>
            <w:tcBorders>
              <w:top w:val="nil"/>
              <w:left w:val="nil"/>
              <w:bottom w:val="nil"/>
              <w:right w:val="nil"/>
            </w:tcBorders>
            <w:vAlign w:val="bottom"/>
          </w:tcPr>
          <w:p w14:paraId="5DB0578D" w14:textId="4B845695"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-264,1</w:t>
            </w:r>
          </w:p>
        </w:tc>
        <w:tc>
          <w:tcPr>
            <w:tcW w:w="1594" w:type="dxa"/>
            <w:gridSpan w:val="2"/>
            <w:tcBorders>
              <w:top w:val="nil"/>
              <w:left w:val="nil"/>
              <w:bottom w:val="nil"/>
              <w:right w:val="nil"/>
            </w:tcBorders>
          </w:tcPr>
          <w:p w14:paraId="511B9C22" w14:textId="77777777" w:rsidR="00656550" w:rsidRPr="00C44EE6" w:rsidRDefault="00656550" w:rsidP="00FF3C2B">
            <w:pPr>
              <w:pStyle w:val="24"/>
              <w:jc w:val="both"/>
              <w:rPr>
                <w:rFonts w:ascii="Times New Roman UniToktom" w:hAnsi="Times New Roman UniToktom" w:cs="Times New Roman UniToktom"/>
                <w:i/>
                <w:sz w:val="18"/>
                <w:szCs w:val="18"/>
                <w:lang w:val="ky-KG"/>
              </w:rPr>
            </w:pPr>
            <w:r w:rsidRPr="00C44EE6">
              <w:rPr>
                <w:rFonts w:ascii="Times New Roman UniToktom" w:hAnsi="Times New Roman UniToktom" w:cs="Times New Roman UniToktom"/>
                <w:i/>
                <w:sz w:val="18"/>
                <w:szCs w:val="18"/>
                <w:lang w:val="ky-KG"/>
              </w:rPr>
              <w:t>в.т.ч.г.Кочкор-Ата</w:t>
            </w:r>
          </w:p>
        </w:tc>
      </w:tr>
      <w:tr w:rsidR="00C44EE6" w:rsidRPr="00C44EE6" w14:paraId="41BD46B8" w14:textId="77777777" w:rsidTr="00372228">
        <w:tc>
          <w:tcPr>
            <w:tcW w:w="1734" w:type="dxa"/>
            <w:tcBorders>
              <w:top w:val="nil"/>
              <w:left w:val="nil"/>
              <w:bottom w:val="nil"/>
              <w:right w:val="nil"/>
            </w:tcBorders>
          </w:tcPr>
          <w:p w14:paraId="0FF128E1" w14:textId="77777777" w:rsidR="00656550" w:rsidRPr="00C44EE6" w:rsidRDefault="00656550" w:rsidP="00FF3C2B">
            <w:pPr>
              <w:pStyle w:val="24"/>
              <w:jc w:val="both"/>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Сузак</w:t>
            </w:r>
          </w:p>
        </w:tc>
        <w:tc>
          <w:tcPr>
            <w:tcW w:w="959" w:type="dxa"/>
            <w:tcBorders>
              <w:top w:val="nil"/>
              <w:left w:val="nil"/>
              <w:bottom w:val="nil"/>
              <w:right w:val="nil"/>
            </w:tcBorders>
            <w:vAlign w:val="bottom"/>
          </w:tcPr>
          <w:p w14:paraId="31BA06C6" w14:textId="49C1D931" w:rsidR="00656550" w:rsidRPr="00C44EE6" w:rsidRDefault="008F416E"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114</w:t>
            </w:r>
          </w:p>
        </w:tc>
        <w:tc>
          <w:tcPr>
            <w:tcW w:w="1167" w:type="dxa"/>
            <w:tcBorders>
              <w:top w:val="nil"/>
              <w:left w:val="nil"/>
              <w:bottom w:val="nil"/>
              <w:right w:val="nil"/>
            </w:tcBorders>
            <w:vAlign w:val="bottom"/>
          </w:tcPr>
          <w:p w14:paraId="48A294E6" w14:textId="125A2057"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211,1</w:t>
            </w:r>
          </w:p>
        </w:tc>
        <w:tc>
          <w:tcPr>
            <w:tcW w:w="959" w:type="dxa"/>
            <w:tcBorders>
              <w:top w:val="nil"/>
              <w:left w:val="nil"/>
              <w:bottom w:val="nil"/>
              <w:right w:val="nil"/>
            </w:tcBorders>
            <w:vAlign w:val="bottom"/>
          </w:tcPr>
          <w:p w14:paraId="20371386" w14:textId="1665111E"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70</w:t>
            </w:r>
          </w:p>
        </w:tc>
        <w:tc>
          <w:tcPr>
            <w:tcW w:w="1134" w:type="dxa"/>
            <w:tcBorders>
              <w:top w:val="nil"/>
              <w:left w:val="nil"/>
              <w:bottom w:val="nil"/>
              <w:right w:val="nil"/>
            </w:tcBorders>
            <w:vAlign w:val="bottom"/>
          </w:tcPr>
          <w:p w14:paraId="7BF4B898" w14:textId="039B9B39"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219,9</w:t>
            </w:r>
          </w:p>
        </w:tc>
        <w:tc>
          <w:tcPr>
            <w:tcW w:w="992" w:type="dxa"/>
            <w:tcBorders>
              <w:top w:val="nil"/>
              <w:left w:val="nil"/>
              <w:bottom w:val="nil"/>
              <w:right w:val="nil"/>
            </w:tcBorders>
            <w:vAlign w:val="bottom"/>
          </w:tcPr>
          <w:p w14:paraId="765A92E8" w14:textId="71E654E9"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15</w:t>
            </w:r>
          </w:p>
        </w:tc>
        <w:tc>
          <w:tcPr>
            <w:tcW w:w="1134" w:type="dxa"/>
            <w:tcBorders>
              <w:top w:val="nil"/>
              <w:left w:val="nil"/>
              <w:bottom w:val="nil"/>
              <w:right w:val="nil"/>
            </w:tcBorders>
            <w:vAlign w:val="bottom"/>
          </w:tcPr>
          <w:p w14:paraId="0BC2B982" w14:textId="63803110"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-8,8</w:t>
            </w:r>
          </w:p>
        </w:tc>
        <w:tc>
          <w:tcPr>
            <w:tcW w:w="1594" w:type="dxa"/>
            <w:gridSpan w:val="2"/>
            <w:tcBorders>
              <w:top w:val="nil"/>
              <w:left w:val="nil"/>
              <w:bottom w:val="nil"/>
              <w:right w:val="nil"/>
            </w:tcBorders>
          </w:tcPr>
          <w:p w14:paraId="48536101" w14:textId="77777777" w:rsidR="00656550" w:rsidRPr="00C44EE6" w:rsidRDefault="00656550" w:rsidP="00FF3C2B">
            <w:pPr>
              <w:pStyle w:val="24"/>
              <w:jc w:val="both"/>
              <w:rPr>
                <w:rFonts w:ascii="Times New Roman UniToktom" w:hAnsi="Times New Roman UniToktom" w:cs="Times New Roman UniToktom"/>
                <w:i/>
                <w:sz w:val="18"/>
                <w:szCs w:val="18"/>
                <w:lang w:val="ky-KG"/>
              </w:rPr>
            </w:pPr>
            <w:r w:rsidRPr="00C44EE6">
              <w:rPr>
                <w:rFonts w:ascii="Times New Roman UniToktom" w:hAnsi="Times New Roman UniToktom" w:cs="Times New Roman UniToktom"/>
                <w:i/>
                <w:sz w:val="18"/>
                <w:szCs w:val="18"/>
                <w:lang w:val="ky-KG"/>
              </w:rPr>
              <w:t>Сузак</w:t>
            </w:r>
          </w:p>
        </w:tc>
      </w:tr>
      <w:tr w:rsidR="00C44EE6" w:rsidRPr="008E60A9" w14:paraId="1764362F" w14:textId="77777777" w:rsidTr="00372228">
        <w:tc>
          <w:tcPr>
            <w:tcW w:w="1734" w:type="dxa"/>
            <w:tcBorders>
              <w:top w:val="nil"/>
              <w:left w:val="nil"/>
              <w:bottom w:val="nil"/>
              <w:right w:val="nil"/>
            </w:tcBorders>
          </w:tcPr>
          <w:p w14:paraId="154ED524" w14:textId="77777777" w:rsidR="00656550" w:rsidRPr="00C44EE6" w:rsidRDefault="00656550" w:rsidP="00FF3C2B">
            <w:pPr>
              <w:pStyle w:val="24"/>
              <w:jc w:val="both"/>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а.и.Көк-Жангак</w:t>
            </w:r>
          </w:p>
        </w:tc>
        <w:tc>
          <w:tcPr>
            <w:tcW w:w="959" w:type="dxa"/>
            <w:tcBorders>
              <w:top w:val="nil"/>
              <w:left w:val="nil"/>
              <w:bottom w:val="nil"/>
              <w:right w:val="nil"/>
            </w:tcBorders>
            <w:vAlign w:val="bottom"/>
          </w:tcPr>
          <w:p w14:paraId="0C5386D2" w14:textId="47E71C9C"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4</w:t>
            </w:r>
          </w:p>
        </w:tc>
        <w:tc>
          <w:tcPr>
            <w:tcW w:w="1167" w:type="dxa"/>
            <w:tcBorders>
              <w:top w:val="nil"/>
              <w:left w:val="nil"/>
              <w:bottom w:val="nil"/>
              <w:right w:val="nil"/>
            </w:tcBorders>
            <w:vAlign w:val="bottom"/>
          </w:tcPr>
          <w:p w14:paraId="7B67D75D" w14:textId="1356A0BB"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w:t>
            </w:r>
          </w:p>
        </w:tc>
        <w:tc>
          <w:tcPr>
            <w:tcW w:w="959" w:type="dxa"/>
            <w:tcBorders>
              <w:top w:val="nil"/>
              <w:left w:val="nil"/>
              <w:bottom w:val="nil"/>
              <w:right w:val="nil"/>
            </w:tcBorders>
            <w:vAlign w:val="bottom"/>
          </w:tcPr>
          <w:p w14:paraId="59BE0A03" w14:textId="06C3AB5B"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w:t>
            </w:r>
          </w:p>
        </w:tc>
        <w:tc>
          <w:tcPr>
            <w:tcW w:w="1134" w:type="dxa"/>
            <w:tcBorders>
              <w:top w:val="nil"/>
              <w:left w:val="nil"/>
              <w:bottom w:val="nil"/>
              <w:right w:val="nil"/>
            </w:tcBorders>
            <w:vAlign w:val="bottom"/>
          </w:tcPr>
          <w:p w14:paraId="6A92FF69" w14:textId="36C9D545"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w:t>
            </w:r>
          </w:p>
        </w:tc>
        <w:tc>
          <w:tcPr>
            <w:tcW w:w="992" w:type="dxa"/>
            <w:tcBorders>
              <w:top w:val="nil"/>
              <w:left w:val="nil"/>
              <w:bottom w:val="nil"/>
              <w:right w:val="nil"/>
            </w:tcBorders>
            <w:vAlign w:val="bottom"/>
          </w:tcPr>
          <w:p w14:paraId="245D55AF" w14:textId="53AF1763"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w:t>
            </w:r>
          </w:p>
        </w:tc>
        <w:tc>
          <w:tcPr>
            <w:tcW w:w="1134" w:type="dxa"/>
            <w:tcBorders>
              <w:top w:val="nil"/>
              <w:left w:val="nil"/>
              <w:bottom w:val="nil"/>
              <w:right w:val="nil"/>
            </w:tcBorders>
            <w:vAlign w:val="bottom"/>
          </w:tcPr>
          <w:p w14:paraId="2BACDBB0" w14:textId="316ED518"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w:t>
            </w:r>
          </w:p>
        </w:tc>
        <w:tc>
          <w:tcPr>
            <w:tcW w:w="1594" w:type="dxa"/>
            <w:gridSpan w:val="2"/>
            <w:tcBorders>
              <w:top w:val="nil"/>
              <w:left w:val="nil"/>
              <w:bottom w:val="nil"/>
              <w:right w:val="nil"/>
            </w:tcBorders>
          </w:tcPr>
          <w:p w14:paraId="2174C2DC" w14:textId="77777777" w:rsidR="00656550" w:rsidRPr="00C44EE6" w:rsidRDefault="00656550" w:rsidP="00FF3C2B">
            <w:pPr>
              <w:pStyle w:val="24"/>
              <w:jc w:val="both"/>
              <w:rPr>
                <w:rFonts w:ascii="Times New Roman UniToktom" w:hAnsi="Times New Roman UniToktom" w:cs="Times New Roman UniToktom"/>
                <w:i/>
                <w:sz w:val="18"/>
                <w:szCs w:val="18"/>
                <w:lang w:val="ky-KG"/>
              </w:rPr>
            </w:pPr>
            <w:r w:rsidRPr="00C44EE6">
              <w:rPr>
                <w:rFonts w:ascii="Times New Roman UniToktom" w:hAnsi="Times New Roman UniToktom" w:cs="Times New Roman UniToktom"/>
                <w:i/>
                <w:sz w:val="18"/>
                <w:szCs w:val="18"/>
                <w:lang w:val="ky-KG"/>
              </w:rPr>
              <w:t>в.т.ч.г.Кок-Жангак</w:t>
            </w:r>
          </w:p>
        </w:tc>
      </w:tr>
      <w:tr w:rsidR="00C44EE6" w:rsidRPr="00C44EE6" w14:paraId="4982D220" w14:textId="77777777" w:rsidTr="00372228">
        <w:tc>
          <w:tcPr>
            <w:tcW w:w="1734" w:type="dxa"/>
            <w:tcBorders>
              <w:top w:val="nil"/>
              <w:left w:val="nil"/>
              <w:bottom w:val="nil"/>
              <w:right w:val="nil"/>
            </w:tcBorders>
          </w:tcPr>
          <w:p w14:paraId="7A7F6EC1" w14:textId="77777777" w:rsidR="00656550" w:rsidRPr="00C44EE6" w:rsidRDefault="00656550" w:rsidP="00FF3C2B">
            <w:pPr>
              <w:pStyle w:val="24"/>
              <w:jc w:val="both"/>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Тогуз-Торо</w:t>
            </w:r>
          </w:p>
        </w:tc>
        <w:tc>
          <w:tcPr>
            <w:tcW w:w="959" w:type="dxa"/>
            <w:tcBorders>
              <w:top w:val="nil"/>
              <w:left w:val="nil"/>
              <w:bottom w:val="nil"/>
              <w:right w:val="nil"/>
            </w:tcBorders>
            <w:vAlign w:val="bottom"/>
          </w:tcPr>
          <w:p w14:paraId="05C8DF79" w14:textId="701CDD4F"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13</w:t>
            </w:r>
          </w:p>
        </w:tc>
        <w:tc>
          <w:tcPr>
            <w:tcW w:w="1167" w:type="dxa"/>
            <w:tcBorders>
              <w:top w:val="nil"/>
              <w:left w:val="nil"/>
              <w:bottom w:val="nil"/>
              <w:right w:val="nil"/>
            </w:tcBorders>
            <w:vAlign w:val="bottom"/>
          </w:tcPr>
          <w:p w14:paraId="0631D417" w14:textId="08C23C8A"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214,7</w:t>
            </w:r>
          </w:p>
        </w:tc>
        <w:tc>
          <w:tcPr>
            <w:tcW w:w="959" w:type="dxa"/>
            <w:tcBorders>
              <w:top w:val="nil"/>
              <w:left w:val="nil"/>
              <w:bottom w:val="nil"/>
              <w:right w:val="nil"/>
            </w:tcBorders>
            <w:vAlign w:val="bottom"/>
          </w:tcPr>
          <w:p w14:paraId="40A2337F" w14:textId="1E9922F9"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5</w:t>
            </w:r>
          </w:p>
        </w:tc>
        <w:tc>
          <w:tcPr>
            <w:tcW w:w="1134" w:type="dxa"/>
            <w:tcBorders>
              <w:top w:val="nil"/>
              <w:left w:val="nil"/>
              <w:bottom w:val="nil"/>
              <w:right w:val="nil"/>
            </w:tcBorders>
            <w:vAlign w:val="bottom"/>
          </w:tcPr>
          <w:p w14:paraId="299E715F" w14:textId="40D363B0"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221,0</w:t>
            </w:r>
          </w:p>
        </w:tc>
        <w:tc>
          <w:tcPr>
            <w:tcW w:w="992" w:type="dxa"/>
            <w:tcBorders>
              <w:top w:val="nil"/>
              <w:left w:val="nil"/>
              <w:bottom w:val="nil"/>
              <w:right w:val="nil"/>
            </w:tcBorders>
            <w:vAlign w:val="bottom"/>
          </w:tcPr>
          <w:p w14:paraId="3E700202" w14:textId="08A43D12"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3</w:t>
            </w:r>
          </w:p>
        </w:tc>
        <w:tc>
          <w:tcPr>
            <w:tcW w:w="1134" w:type="dxa"/>
            <w:tcBorders>
              <w:top w:val="nil"/>
              <w:left w:val="nil"/>
              <w:bottom w:val="nil"/>
              <w:right w:val="nil"/>
            </w:tcBorders>
            <w:vAlign w:val="bottom"/>
          </w:tcPr>
          <w:p w14:paraId="6A09DEEA" w14:textId="216A2AAE"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-6,3</w:t>
            </w:r>
          </w:p>
        </w:tc>
        <w:tc>
          <w:tcPr>
            <w:tcW w:w="1594" w:type="dxa"/>
            <w:gridSpan w:val="2"/>
            <w:tcBorders>
              <w:top w:val="nil"/>
              <w:left w:val="nil"/>
              <w:bottom w:val="nil"/>
              <w:right w:val="nil"/>
            </w:tcBorders>
          </w:tcPr>
          <w:p w14:paraId="17B9AF32" w14:textId="77777777" w:rsidR="00656550" w:rsidRPr="00C44EE6" w:rsidRDefault="00656550" w:rsidP="00FF3C2B">
            <w:pPr>
              <w:pStyle w:val="24"/>
              <w:jc w:val="both"/>
              <w:rPr>
                <w:rFonts w:ascii="Times New Roman UniToktom" w:hAnsi="Times New Roman UniToktom" w:cs="Times New Roman UniToktom"/>
                <w:i/>
                <w:sz w:val="18"/>
                <w:szCs w:val="18"/>
                <w:lang w:val="ky-KG"/>
              </w:rPr>
            </w:pPr>
            <w:r w:rsidRPr="00C44EE6">
              <w:rPr>
                <w:rFonts w:ascii="Times New Roman UniToktom" w:hAnsi="Times New Roman UniToktom" w:cs="Times New Roman UniToktom"/>
                <w:i/>
                <w:sz w:val="18"/>
                <w:szCs w:val="18"/>
                <w:lang w:val="ky-KG"/>
              </w:rPr>
              <w:t>Тогуз-Торо</w:t>
            </w:r>
          </w:p>
        </w:tc>
      </w:tr>
      <w:tr w:rsidR="00C44EE6" w:rsidRPr="00C44EE6" w14:paraId="60517E53" w14:textId="77777777" w:rsidTr="00372228">
        <w:tc>
          <w:tcPr>
            <w:tcW w:w="1734" w:type="dxa"/>
            <w:tcBorders>
              <w:top w:val="nil"/>
              <w:left w:val="nil"/>
              <w:bottom w:val="nil"/>
              <w:right w:val="nil"/>
            </w:tcBorders>
          </w:tcPr>
          <w:p w14:paraId="3AC401F9" w14:textId="77777777" w:rsidR="00656550" w:rsidRPr="00C44EE6" w:rsidRDefault="00656550" w:rsidP="00FF3C2B">
            <w:pPr>
              <w:pStyle w:val="24"/>
              <w:jc w:val="both"/>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Токтогул</w:t>
            </w:r>
          </w:p>
        </w:tc>
        <w:tc>
          <w:tcPr>
            <w:tcW w:w="959" w:type="dxa"/>
            <w:tcBorders>
              <w:top w:val="nil"/>
              <w:left w:val="nil"/>
              <w:bottom w:val="nil"/>
              <w:right w:val="nil"/>
            </w:tcBorders>
            <w:vAlign w:val="bottom"/>
          </w:tcPr>
          <w:p w14:paraId="0C8C79F6" w14:textId="302E74E2"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33</w:t>
            </w:r>
          </w:p>
        </w:tc>
        <w:tc>
          <w:tcPr>
            <w:tcW w:w="1167" w:type="dxa"/>
            <w:tcBorders>
              <w:top w:val="nil"/>
              <w:left w:val="nil"/>
              <w:bottom w:val="nil"/>
              <w:right w:val="nil"/>
            </w:tcBorders>
            <w:vAlign w:val="bottom"/>
          </w:tcPr>
          <w:p w14:paraId="042F974E" w14:textId="7DF40316"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91,3</w:t>
            </w:r>
          </w:p>
        </w:tc>
        <w:tc>
          <w:tcPr>
            <w:tcW w:w="959" w:type="dxa"/>
            <w:tcBorders>
              <w:top w:val="nil"/>
              <w:left w:val="nil"/>
              <w:bottom w:val="nil"/>
              <w:right w:val="nil"/>
            </w:tcBorders>
            <w:vAlign w:val="bottom"/>
          </w:tcPr>
          <w:p w14:paraId="30CC4302" w14:textId="22B0AB5D"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13</w:t>
            </w:r>
          </w:p>
        </w:tc>
        <w:tc>
          <w:tcPr>
            <w:tcW w:w="1134" w:type="dxa"/>
            <w:tcBorders>
              <w:top w:val="nil"/>
              <w:left w:val="nil"/>
              <w:bottom w:val="nil"/>
              <w:right w:val="nil"/>
            </w:tcBorders>
            <w:vAlign w:val="bottom"/>
          </w:tcPr>
          <w:p w14:paraId="27337BFE" w14:textId="17AF3C71"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97,1</w:t>
            </w:r>
          </w:p>
        </w:tc>
        <w:tc>
          <w:tcPr>
            <w:tcW w:w="992" w:type="dxa"/>
            <w:tcBorders>
              <w:top w:val="nil"/>
              <w:left w:val="nil"/>
              <w:bottom w:val="nil"/>
              <w:right w:val="nil"/>
            </w:tcBorders>
            <w:vAlign w:val="bottom"/>
          </w:tcPr>
          <w:p w14:paraId="7D28980F" w14:textId="38AE7C9D"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w:t>
            </w:r>
          </w:p>
        </w:tc>
        <w:tc>
          <w:tcPr>
            <w:tcW w:w="1134" w:type="dxa"/>
            <w:tcBorders>
              <w:top w:val="nil"/>
              <w:left w:val="nil"/>
              <w:bottom w:val="nil"/>
              <w:right w:val="nil"/>
            </w:tcBorders>
            <w:vAlign w:val="bottom"/>
          </w:tcPr>
          <w:p w14:paraId="195E8105" w14:textId="2FB30549"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-5,8</w:t>
            </w:r>
          </w:p>
        </w:tc>
        <w:tc>
          <w:tcPr>
            <w:tcW w:w="1594" w:type="dxa"/>
            <w:gridSpan w:val="2"/>
            <w:tcBorders>
              <w:top w:val="nil"/>
              <w:left w:val="nil"/>
              <w:bottom w:val="nil"/>
              <w:right w:val="nil"/>
            </w:tcBorders>
          </w:tcPr>
          <w:p w14:paraId="5988632C" w14:textId="77777777" w:rsidR="00656550" w:rsidRPr="00C44EE6" w:rsidRDefault="00656550" w:rsidP="00FF3C2B">
            <w:pPr>
              <w:pStyle w:val="24"/>
              <w:jc w:val="both"/>
              <w:rPr>
                <w:rFonts w:ascii="Times New Roman UniToktom" w:hAnsi="Times New Roman UniToktom" w:cs="Times New Roman UniToktom"/>
                <w:i/>
                <w:sz w:val="18"/>
                <w:szCs w:val="18"/>
                <w:lang w:val="ky-KG"/>
              </w:rPr>
            </w:pPr>
            <w:r w:rsidRPr="00C44EE6">
              <w:rPr>
                <w:rFonts w:ascii="Times New Roman UniToktom" w:hAnsi="Times New Roman UniToktom" w:cs="Times New Roman UniToktom"/>
                <w:i/>
                <w:sz w:val="18"/>
                <w:szCs w:val="18"/>
                <w:lang w:val="ky-KG"/>
              </w:rPr>
              <w:t>Токтогул</w:t>
            </w:r>
          </w:p>
        </w:tc>
      </w:tr>
      <w:tr w:rsidR="00C44EE6" w:rsidRPr="008E60A9" w14:paraId="59D70825" w14:textId="77777777" w:rsidTr="00372228">
        <w:tc>
          <w:tcPr>
            <w:tcW w:w="1734" w:type="dxa"/>
            <w:tcBorders>
              <w:top w:val="nil"/>
              <w:left w:val="nil"/>
              <w:bottom w:val="nil"/>
              <w:right w:val="nil"/>
            </w:tcBorders>
          </w:tcPr>
          <w:p w14:paraId="31683335" w14:textId="77777777" w:rsidR="00656550" w:rsidRPr="00C44EE6" w:rsidRDefault="00656550" w:rsidP="00FF3C2B">
            <w:pPr>
              <w:pStyle w:val="24"/>
              <w:jc w:val="both"/>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а.и.Токтогул ш.</w:t>
            </w:r>
          </w:p>
        </w:tc>
        <w:tc>
          <w:tcPr>
            <w:tcW w:w="959" w:type="dxa"/>
            <w:tcBorders>
              <w:top w:val="nil"/>
              <w:left w:val="nil"/>
              <w:bottom w:val="nil"/>
              <w:right w:val="nil"/>
            </w:tcBorders>
            <w:vAlign w:val="bottom"/>
          </w:tcPr>
          <w:p w14:paraId="0581582A" w14:textId="5209A077"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22</w:t>
            </w:r>
          </w:p>
        </w:tc>
        <w:tc>
          <w:tcPr>
            <w:tcW w:w="1167" w:type="dxa"/>
            <w:tcBorders>
              <w:top w:val="nil"/>
              <w:left w:val="nil"/>
              <w:bottom w:val="nil"/>
              <w:right w:val="nil"/>
            </w:tcBorders>
            <w:vAlign w:val="bottom"/>
          </w:tcPr>
          <w:p w14:paraId="4E2009EA" w14:textId="79D41644"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7,6</w:t>
            </w:r>
          </w:p>
        </w:tc>
        <w:tc>
          <w:tcPr>
            <w:tcW w:w="959" w:type="dxa"/>
            <w:tcBorders>
              <w:top w:val="nil"/>
              <w:left w:val="nil"/>
              <w:bottom w:val="nil"/>
              <w:right w:val="nil"/>
            </w:tcBorders>
            <w:vAlign w:val="bottom"/>
          </w:tcPr>
          <w:p w14:paraId="3E293ADD" w14:textId="58671EDF"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9</w:t>
            </w:r>
          </w:p>
        </w:tc>
        <w:tc>
          <w:tcPr>
            <w:tcW w:w="1134" w:type="dxa"/>
            <w:tcBorders>
              <w:top w:val="nil"/>
              <w:left w:val="nil"/>
              <w:bottom w:val="nil"/>
              <w:right w:val="nil"/>
            </w:tcBorders>
            <w:vAlign w:val="bottom"/>
          </w:tcPr>
          <w:p w14:paraId="4EC3F67E" w14:textId="5A493957"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13,1</w:t>
            </w:r>
          </w:p>
        </w:tc>
        <w:tc>
          <w:tcPr>
            <w:tcW w:w="992" w:type="dxa"/>
            <w:tcBorders>
              <w:top w:val="nil"/>
              <w:left w:val="nil"/>
              <w:bottom w:val="nil"/>
              <w:right w:val="nil"/>
            </w:tcBorders>
            <w:vAlign w:val="bottom"/>
          </w:tcPr>
          <w:p w14:paraId="4ED4212E" w14:textId="4629AB2D"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w:t>
            </w:r>
          </w:p>
        </w:tc>
        <w:tc>
          <w:tcPr>
            <w:tcW w:w="1134" w:type="dxa"/>
            <w:tcBorders>
              <w:top w:val="nil"/>
              <w:left w:val="nil"/>
              <w:bottom w:val="nil"/>
              <w:right w:val="nil"/>
            </w:tcBorders>
            <w:vAlign w:val="bottom"/>
          </w:tcPr>
          <w:p w14:paraId="3B09C0A5" w14:textId="14F1F405"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-5,5</w:t>
            </w:r>
          </w:p>
        </w:tc>
        <w:tc>
          <w:tcPr>
            <w:tcW w:w="1594" w:type="dxa"/>
            <w:gridSpan w:val="2"/>
            <w:tcBorders>
              <w:top w:val="nil"/>
              <w:left w:val="nil"/>
              <w:bottom w:val="nil"/>
              <w:right w:val="nil"/>
            </w:tcBorders>
          </w:tcPr>
          <w:p w14:paraId="0030591B" w14:textId="77777777" w:rsidR="00656550" w:rsidRPr="00C44EE6" w:rsidRDefault="00656550" w:rsidP="00FF3C2B">
            <w:pPr>
              <w:pStyle w:val="24"/>
              <w:jc w:val="both"/>
              <w:rPr>
                <w:rFonts w:ascii="Times New Roman UniToktom" w:hAnsi="Times New Roman UniToktom" w:cs="Times New Roman UniToktom"/>
                <w:i/>
                <w:sz w:val="18"/>
                <w:szCs w:val="18"/>
                <w:lang w:val="ky-KG"/>
              </w:rPr>
            </w:pPr>
            <w:r w:rsidRPr="00C44EE6">
              <w:rPr>
                <w:rFonts w:ascii="Times New Roman UniToktom" w:hAnsi="Times New Roman UniToktom" w:cs="Times New Roman UniToktom"/>
                <w:i/>
                <w:sz w:val="18"/>
                <w:szCs w:val="18"/>
                <w:lang w:val="ky-KG"/>
              </w:rPr>
              <w:t xml:space="preserve">в.т.ч.г.Токтогул </w:t>
            </w:r>
          </w:p>
        </w:tc>
      </w:tr>
      <w:tr w:rsidR="00C44EE6" w:rsidRPr="00C44EE6" w14:paraId="30CED03F" w14:textId="77777777" w:rsidTr="00372228">
        <w:tc>
          <w:tcPr>
            <w:tcW w:w="1734" w:type="dxa"/>
            <w:tcBorders>
              <w:top w:val="nil"/>
              <w:left w:val="nil"/>
              <w:bottom w:val="nil"/>
              <w:right w:val="nil"/>
            </w:tcBorders>
          </w:tcPr>
          <w:p w14:paraId="29605B25" w14:textId="77777777" w:rsidR="00656550" w:rsidRPr="00C44EE6" w:rsidRDefault="00656550" w:rsidP="00FF3C2B">
            <w:pPr>
              <w:pStyle w:val="24"/>
              <w:jc w:val="both"/>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Чаткал</w:t>
            </w:r>
          </w:p>
        </w:tc>
        <w:tc>
          <w:tcPr>
            <w:tcW w:w="959" w:type="dxa"/>
            <w:tcBorders>
              <w:top w:val="nil"/>
              <w:left w:val="nil"/>
              <w:bottom w:val="nil"/>
              <w:right w:val="nil"/>
            </w:tcBorders>
            <w:vAlign w:val="bottom"/>
          </w:tcPr>
          <w:p w14:paraId="70956B49" w14:textId="0F3D31FF"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23</w:t>
            </w:r>
          </w:p>
        </w:tc>
        <w:tc>
          <w:tcPr>
            <w:tcW w:w="1167" w:type="dxa"/>
            <w:tcBorders>
              <w:top w:val="nil"/>
              <w:left w:val="nil"/>
              <w:bottom w:val="nil"/>
              <w:right w:val="nil"/>
            </w:tcBorders>
            <w:vAlign w:val="bottom"/>
          </w:tcPr>
          <w:p w14:paraId="2F41CF59" w14:textId="164C3040"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4 738,0</w:t>
            </w:r>
          </w:p>
        </w:tc>
        <w:tc>
          <w:tcPr>
            <w:tcW w:w="959" w:type="dxa"/>
            <w:tcBorders>
              <w:top w:val="nil"/>
              <w:left w:val="nil"/>
              <w:bottom w:val="nil"/>
              <w:right w:val="nil"/>
            </w:tcBorders>
            <w:vAlign w:val="bottom"/>
          </w:tcPr>
          <w:p w14:paraId="0ABC5EAE" w14:textId="03E3CC30"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9</w:t>
            </w:r>
          </w:p>
        </w:tc>
        <w:tc>
          <w:tcPr>
            <w:tcW w:w="1134" w:type="dxa"/>
            <w:tcBorders>
              <w:top w:val="nil"/>
              <w:left w:val="nil"/>
              <w:bottom w:val="nil"/>
              <w:right w:val="nil"/>
            </w:tcBorders>
            <w:vAlign w:val="bottom"/>
          </w:tcPr>
          <w:p w14:paraId="7788E86A" w14:textId="31924129"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5 357,1</w:t>
            </w:r>
          </w:p>
        </w:tc>
        <w:tc>
          <w:tcPr>
            <w:tcW w:w="992" w:type="dxa"/>
            <w:tcBorders>
              <w:top w:val="nil"/>
              <w:left w:val="nil"/>
              <w:bottom w:val="nil"/>
              <w:right w:val="nil"/>
            </w:tcBorders>
            <w:vAlign w:val="bottom"/>
          </w:tcPr>
          <w:p w14:paraId="5A4914FB" w14:textId="52DA7CF0"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4</w:t>
            </w:r>
          </w:p>
        </w:tc>
        <w:tc>
          <w:tcPr>
            <w:tcW w:w="1134" w:type="dxa"/>
            <w:tcBorders>
              <w:top w:val="nil"/>
              <w:left w:val="nil"/>
              <w:bottom w:val="nil"/>
              <w:right w:val="nil"/>
            </w:tcBorders>
            <w:vAlign w:val="bottom"/>
          </w:tcPr>
          <w:p w14:paraId="40B6BF5E" w14:textId="00107E21"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-619,1</w:t>
            </w:r>
          </w:p>
        </w:tc>
        <w:tc>
          <w:tcPr>
            <w:tcW w:w="1594" w:type="dxa"/>
            <w:gridSpan w:val="2"/>
            <w:tcBorders>
              <w:top w:val="nil"/>
              <w:left w:val="nil"/>
              <w:bottom w:val="nil"/>
              <w:right w:val="nil"/>
            </w:tcBorders>
          </w:tcPr>
          <w:p w14:paraId="3DD85F5A" w14:textId="77777777" w:rsidR="00656550" w:rsidRPr="00C44EE6" w:rsidRDefault="00656550" w:rsidP="00FF3C2B">
            <w:pPr>
              <w:pStyle w:val="24"/>
              <w:jc w:val="both"/>
              <w:rPr>
                <w:rFonts w:ascii="Times New Roman UniToktom" w:hAnsi="Times New Roman UniToktom" w:cs="Times New Roman UniToktom"/>
                <w:i/>
                <w:sz w:val="18"/>
                <w:szCs w:val="18"/>
                <w:lang w:val="ky-KG"/>
              </w:rPr>
            </w:pPr>
            <w:r w:rsidRPr="00C44EE6">
              <w:rPr>
                <w:rFonts w:ascii="Times New Roman UniToktom" w:hAnsi="Times New Roman UniToktom" w:cs="Times New Roman UniToktom"/>
                <w:i/>
                <w:sz w:val="18"/>
                <w:szCs w:val="18"/>
                <w:lang w:val="ky-KG"/>
              </w:rPr>
              <w:t>Чаткал</w:t>
            </w:r>
          </w:p>
        </w:tc>
      </w:tr>
      <w:tr w:rsidR="00C44EE6" w:rsidRPr="00C44EE6" w14:paraId="6AF807DE" w14:textId="77777777" w:rsidTr="00372228">
        <w:tc>
          <w:tcPr>
            <w:tcW w:w="1734" w:type="dxa"/>
            <w:tcBorders>
              <w:top w:val="nil"/>
              <w:left w:val="nil"/>
              <w:bottom w:val="nil"/>
              <w:right w:val="nil"/>
            </w:tcBorders>
          </w:tcPr>
          <w:p w14:paraId="0917BE7B" w14:textId="77777777" w:rsidR="00656550" w:rsidRPr="00C44EE6" w:rsidRDefault="00656550" w:rsidP="00FF3C2B">
            <w:pPr>
              <w:pStyle w:val="24"/>
              <w:jc w:val="both"/>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Жалал-Абад ш.</w:t>
            </w:r>
          </w:p>
        </w:tc>
        <w:tc>
          <w:tcPr>
            <w:tcW w:w="959" w:type="dxa"/>
            <w:tcBorders>
              <w:top w:val="nil"/>
              <w:left w:val="nil"/>
              <w:bottom w:val="nil"/>
              <w:right w:val="nil"/>
            </w:tcBorders>
            <w:vAlign w:val="bottom"/>
          </w:tcPr>
          <w:p w14:paraId="6EF333FF" w14:textId="14139985"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387</w:t>
            </w:r>
          </w:p>
        </w:tc>
        <w:tc>
          <w:tcPr>
            <w:tcW w:w="1167" w:type="dxa"/>
            <w:tcBorders>
              <w:top w:val="nil"/>
              <w:left w:val="nil"/>
              <w:bottom w:val="nil"/>
              <w:right w:val="nil"/>
            </w:tcBorders>
            <w:vAlign w:val="bottom"/>
          </w:tcPr>
          <w:p w14:paraId="031EAA23" w14:textId="37586A67"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846,5</w:t>
            </w:r>
          </w:p>
        </w:tc>
        <w:tc>
          <w:tcPr>
            <w:tcW w:w="959" w:type="dxa"/>
            <w:tcBorders>
              <w:top w:val="nil"/>
              <w:left w:val="nil"/>
              <w:bottom w:val="nil"/>
              <w:right w:val="nil"/>
            </w:tcBorders>
            <w:vAlign w:val="bottom"/>
          </w:tcPr>
          <w:p w14:paraId="4A71B4CA" w14:textId="65476385"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272</w:t>
            </w:r>
          </w:p>
        </w:tc>
        <w:tc>
          <w:tcPr>
            <w:tcW w:w="1134" w:type="dxa"/>
            <w:tcBorders>
              <w:top w:val="nil"/>
              <w:left w:val="nil"/>
              <w:bottom w:val="nil"/>
              <w:right w:val="nil"/>
            </w:tcBorders>
            <w:vAlign w:val="bottom"/>
          </w:tcPr>
          <w:p w14:paraId="07318C72" w14:textId="34034B01"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2 130,1</w:t>
            </w:r>
          </w:p>
        </w:tc>
        <w:tc>
          <w:tcPr>
            <w:tcW w:w="992" w:type="dxa"/>
            <w:tcBorders>
              <w:top w:val="nil"/>
              <w:left w:val="nil"/>
              <w:bottom w:val="nil"/>
              <w:right w:val="nil"/>
            </w:tcBorders>
            <w:vAlign w:val="bottom"/>
          </w:tcPr>
          <w:p w14:paraId="12E59A7A" w14:textId="13CBA1B5"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39</w:t>
            </w:r>
          </w:p>
        </w:tc>
        <w:tc>
          <w:tcPr>
            <w:tcW w:w="1134" w:type="dxa"/>
            <w:tcBorders>
              <w:top w:val="nil"/>
              <w:left w:val="nil"/>
              <w:bottom w:val="nil"/>
              <w:right w:val="nil"/>
            </w:tcBorders>
            <w:vAlign w:val="bottom"/>
          </w:tcPr>
          <w:p w14:paraId="0D64027B" w14:textId="6FA84F21"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-1 256,5</w:t>
            </w:r>
          </w:p>
        </w:tc>
        <w:tc>
          <w:tcPr>
            <w:tcW w:w="1594" w:type="dxa"/>
            <w:gridSpan w:val="2"/>
            <w:tcBorders>
              <w:top w:val="nil"/>
              <w:left w:val="nil"/>
              <w:bottom w:val="nil"/>
              <w:right w:val="nil"/>
            </w:tcBorders>
          </w:tcPr>
          <w:p w14:paraId="50BFD916" w14:textId="77777777" w:rsidR="00656550" w:rsidRPr="00C44EE6" w:rsidRDefault="00656550" w:rsidP="00FF3C2B">
            <w:pPr>
              <w:pStyle w:val="24"/>
              <w:jc w:val="both"/>
              <w:rPr>
                <w:rFonts w:ascii="Times New Roman UniToktom" w:hAnsi="Times New Roman UniToktom" w:cs="Times New Roman UniToktom"/>
                <w:i/>
                <w:sz w:val="18"/>
                <w:szCs w:val="18"/>
                <w:lang w:val="ky-KG"/>
              </w:rPr>
            </w:pPr>
            <w:r w:rsidRPr="00C44EE6">
              <w:rPr>
                <w:rFonts w:ascii="Times New Roman UniToktom" w:hAnsi="Times New Roman UniToktom" w:cs="Times New Roman UniToktom"/>
                <w:i/>
                <w:sz w:val="18"/>
                <w:szCs w:val="18"/>
                <w:lang w:val="ky-KG"/>
              </w:rPr>
              <w:t xml:space="preserve">г. Джалал-Абад </w:t>
            </w:r>
          </w:p>
        </w:tc>
      </w:tr>
      <w:tr w:rsidR="00C44EE6" w:rsidRPr="00C44EE6" w14:paraId="596E4166" w14:textId="77777777" w:rsidTr="00372228">
        <w:tc>
          <w:tcPr>
            <w:tcW w:w="1734" w:type="dxa"/>
            <w:tcBorders>
              <w:top w:val="nil"/>
              <w:left w:val="nil"/>
              <w:bottom w:val="nil"/>
              <w:right w:val="nil"/>
            </w:tcBorders>
          </w:tcPr>
          <w:p w14:paraId="4852B88C" w14:textId="77777777" w:rsidR="00656550" w:rsidRPr="00C44EE6" w:rsidRDefault="00656550" w:rsidP="00FF3C2B">
            <w:pPr>
              <w:pStyle w:val="24"/>
              <w:jc w:val="both"/>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Кара-Көл ш.</w:t>
            </w:r>
          </w:p>
        </w:tc>
        <w:tc>
          <w:tcPr>
            <w:tcW w:w="959" w:type="dxa"/>
            <w:tcBorders>
              <w:top w:val="nil"/>
              <w:left w:val="nil"/>
              <w:bottom w:val="nil"/>
              <w:right w:val="nil"/>
            </w:tcBorders>
            <w:vAlign w:val="bottom"/>
          </w:tcPr>
          <w:p w14:paraId="287EB817" w14:textId="7990B406"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39</w:t>
            </w:r>
          </w:p>
        </w:tc>
        <w:tc>
          <w:tcPr>
            <w:tcW w:w="1167" w:type="dxa"/>
            <w:tcBorders>
              <w:top w:val="nil"/>
              <w:left w:val="nil"/>
              <w:bottom w:val="nil"/>
              <w:right w:val="nil"/>
            </w:tcBorders>
            <w:vAlign w:val="bottom"/>
          </w:tcPr>
          <w:p w14:paraId="20690D0B" w14:textId="31F0B61E"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56,9</w:t>
            </w:r>
          </w:p>
        </w:tc>
        <w:tc>
          <w:tcPr>
            <w:tcW w:w="959" w:type="dxa"/>
            <w:tcBorders>
              <w:top w:val="nil"/>
              <w:left w:val="nil"/>
              <w:bottom w:val="nil"/>
              <w:right w:val="nil"/>
            </w:tcBorders>
            <w:vAlign w:val="bottom"/>
          </w:tcPr>
          <w:p w14:paraId="79262BCB" w14:textId="37B55B6C"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24</w:t>
            </w:r>
          </w:p>
        </w:tc>
        <w:tc>
          <w:tcPr>
            <w:tcW w:w="1134" w:type="dxa"/>
            <w:tcBorders>
              <w:top w:val="nil"/>
              <w:left w:val="nil"/>
              <w:bottom w:val="nil"/>
              <w:right w:val="nil"/>
            </w:tcBorders>
            <w:vAlign w:val="bottom"/>
          </w:tcPr>
          <w:p w14:paraId="486B11EB" w14:textId="39FE92BD"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209,1</w:t>
            </w:r>
          </w:p>
        </w:tc>
        <w:tc>
          <w:tcPr>
            <w:tcW w:w="992" w:type="dxa"/>
            <w:tcBorders>
              <w:top w:val="nil"/>
              <w:left w:val="nil"/>
              <w:bottom w:val="nil"/>
              <w:right w:val="nil"/>
            </w:tcBorders>
            <w:vAlign w:val="bottom"/>
          </w:tcPr>
          <w:p w14:paraId="4E9B31EC" w14:textId="765032D3"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9</w:t>
            </w:r>
          </w:p>
        </w:tc>
        <w:tc>
          <w:tcPr>
            <w:tcW w:w="1134" w:type="dxa"/>
            <w:tcBorders>
              <w:top w:val="nil"/>
              <w:left w:val="nil"/>
              <w:bottom w:val="nil"/>
              <w:right w:val="nil"/>
            </w:tcBorders>
            <w:vAlign w:val="bottom"/>
          </w:tcPr>
          <w:p w14:paraId="32D70480" w14:textId="331DF6F0"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-152,1</w:t>
            </w:r>
          </w:p>
        </w:tc>
        <w:tc>
          <w:tcPr>
            <w:tcW w:w="1594" w:type="dxa"/>
            <w:gridSpan w:val="2"/>
            <w:tcBorders>
              <w:top w:val="nil"/>
              <w:left w:val="nil"/>
              <w:bottom w:val="nil"/>
              <w:right w:val="nil"/>
            </w:tcBorders>
          </w:tcPr>
          <w:p w14:paraId="7DD46D33" w14:textId="77777777" w:rsidR="00656550" w:rsidRPr="00C44EE6" w:rsidRDefault="00656550" w:rsidP="00FF3C2B">
            <w:pPr>
              <w:pStyle w:val="24"/>
              <w:jc w:val="both"/>
              <w:rPr>
                <w:rFonts w:ascii="Times New Roman UniToktom" w:hAnsi="Times New Roman UniToktom" w:cs="Times New Roman UniToktom"/>
                <w:i/>
                <w:sz w:val="18"/>
                <w:szCs w:val="18"/>
                <w:lang w:val="ky-KG"/>
              </w:rPr>
            </w:pPr>
            <w:r w:rsidRPr="00C44EE6">
              <w:rPr>
                <w:rFonts w:ascii="Times New Roman UniToktom" w:hAnsi="Times New Roman UniToktom" w:cs="Times New Roman UniToktom"/>
                <w:i/>
                <w:sz w:val="18"/>
                <w:szCs w:val="18"/>
                <w:lang w:val="ky-KG"/>
              </w:rPr>
              <w:t>г. Кара-Куль</w:t>
            </w:r>
          </w:p>
        </w:tc>
      </w:tr>
      <w:tr w:rsidR="00C44EE6" w:rsidRPr="00C44EE6" w14:paraId="445FD354" w14:textId="77777777" w:rsidTr="00372228">
        <w:tc>
          <w:tcPr>
            <w:tcW w:w="1734" w:type="dxa"/>
            <w:tcBorders>
              <w:top w:val="nil"/>
              <w:left w:val="nil"/>
              <w:bottom w:val="nil"/>
              <w:right w:val="nil"/>
            </w:tcBorders>
          </w:tcPr>
          <w:p w14:paraId="75CFDA44" w14:textId="3917D8FD" w:rsidR="00656550" w:rsidRPr="00C44EE6" w:rsidRDefault="00656550" w:rsidP="00FF3C2B">
            <w:pPr>
              <w:pStyle w:val="24"/>
              <w:jc w:val="both"/>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Майлуу-Суу ш.</w:t>
            </w:r>
          </w:p>
        </w:tc>
        <w:tc>
          <w:tcPr>
            <w:tcW w:w="959" w:type="dxa"/>
            <w:tcBorders>
              <w:top w:val="nil"/>
              <w:left w:val="nil"/>
              <w:bottom w:val="nil"/>
              <w:right w:val="nil"/>
            </w:tcBorders>
            <w:vAlign w:val="bottom"/>
          </w:tcPr>
          <w:p w14:paraId="41F55857" w14:textId="1AA632F8"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18</w:t>
            </w:r>
          </w:p>
        </w:tc>
        <w:tc>
          <w:tcPr>
            <w:tcW w:w="1167" w:type="dxa"/>
            <w:tcBorders>
              <w:top w:val="nil"/>
              <w:left w:val="nil"/>
              <w:bottom w:val="nil"/>
              <w:right w:val="nil"/>
            </w:tcBorders>
            <w:vAlign w:val="bottom"/>
          </w:tcPr>
          <w:p w14:paraId="7C4AE256" w14:textId="1B9A78E8"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-68,0</w:t>
            </w:r>
          </w:p>
        </w:tc>
        <w:tc>
          <w:tcPr>
            <w:tcW w:w="959" w:type="dxa"/>
            <w:tcBorders>
              <w:top w:val="nil"/>
              <w:left w:val="nil"/>
              <w:bottom w:val="nil"/>
              <w:right w:val="nil"/>
            </w:tcBorders>
            <w:vAlign w:val="bottom"/>
          </w:tcPr>
          <w:p w14:paraId="5FD9EA30" w14:textId="48341D27"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12</w:t>
            </w:r>
          </w:p>
        </w:tc>
        <w:tc>
          <w:tcPr>
            <w:tcW w:w="1134" w:type="dxa"/>
            <w:tcBorders>
              <w:top w:val="nil"/>
              <w:left w:val="nil"/>
              <w:bottom w:val="nil"/>
              <w:right w:val="nil"/>
            </w:tcBorders>
            <w:vAlign w:val="bottom"/>
          </w:tcPr>
          <w:p w14:paraId="45FA1179" w14:textId="6FFC8BCC"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22,2</w:t>
            </w:r>
          </w:p>
        </w:tc>
        <w:tc>
          <w:tcPr>
            <w:tcW w:w="992" w:type="dxa"/>
            <w:tcBorders>
              <w:top w:val="nil"/>
              <w:left w:val="nil"/>
              <w:bottom w:val="nil"/>
              <w:right w:val="nil"/>
            </w:tcBorders>
            <w:vAlign w:val="bottom"/>
          </w:tcPr>
          <w:p w14:paraId="257D2739" w14:textId="468C113D"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5</w:t>
            </w:r>
          </w:p>
        </w:tc>
        <w:tc>
          <w:tcPr>
            <w:tcW w:w="1134" w:type="dxa"/>
            <w:tcBorders>
              <w:top w:val="nil"/>
              <w:left w:val="nil"/>
              <w:bottom w:val="nil"/>
              <w:right w:val="nil"/>
            </w:tcBorders>
            <w:vAlign w:val="bottom"/>
          </w:tcPr>
          <w:p w14:paraId="4D568E7F" w14:textId="62FA27E6"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-90,3</w:t>
            </w:r>
          </w:p>
        </w:tc>
        <w:tc>
          <w:tcPr>
            <w:tcW w:w="1594" w:type="dxa"/>
            <w:gridSpan w:val="2"/>
            <w:tcBorders>
              <w:top w:val="nil"/>
              <w:left w:val="nil"/>
              <w:bottom w:val="nil"/>
              <w:right w:val="nil"/>
            </w:tcBorders>
          </w:tcPr>
          <w:p w14:paraId="0CA58158" w14:textId="77777777" w:rsidR="00656550" w:rsidRPr="00C44EE6" w:rsidRDefault="00656550" w:rsidP="00FF3C2B">
            <w:pPr>
              <w:pStyle w:val="24"/>
              <w:jc w:val="both"/>
              <w:rPr>
                <w:rFonts w:ascii="Times New Roman UniToktom" w:hAnsi="Times New Roman UniToktom" w:cs="Times New Roman UniToktom"/>
                <w:i/>
                <w:sz w:val="18"/>
                <w:szCs w:val="18"/>
                <w:lang w:val="ky-KG"/>
              </w:rPr>
            </w:pPr>
            <w:r w:rsidRPr="00C44EE6">
              <w:rPr>
                <w:rFonts w:ascii="Times New Roman UniToktom" w:hAnsi="Times New Roman UniToktom" w:cs="Times New Roman UniToktom"/>
                <w:i/>
                <w:sz w:val="18"/>
                <w:szCs w:val="18"/>
                <w:lang w:val="ky-KG"/>
              </w:rPr>
              <w:t xml:space="preserve">г. Майлуу-Суу </w:t>
            </w:r>
          </w:p>
        </w:tc>
      </w:tr>
      <w:tr w:rsidR="00C44EE6" w:rsidRPr="00C44EE6" w14:paraId="28C54E71" w14:textId="77777777" w:rsidTr="00372228">
        <w:tc>
          <w:tcPr>
            <w:tcW w:w="1734" w:type="dxa"/>
            <w:tcBorders>
              <w:top w:val="nil"/>
              <w:left w:val="nil"/>
              <w:bottom w:val="nil"/>
              <w:right w:val="nil"/>
            </w:tcBorders>
          </w:tcPr>
          <w:p w14:paraId="2B3B067F" w14:textId="77777777" w:rsidR="00656550" w:rsidRPr="00C44EE6" w:rsidRDefault="00656550" w:rsidP="00FF3C2B">
            <w:pPr>
              <w:pStyle w:val="24"/>
              <w:jc w:val="both"/>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Таш-Көмүр ш.</w:t>
            </w:r>
          </w:p>
        </w:tc>
        <w:tc>
          <w:tcPr>
            <w:tcW w:w="959" w:type="dxa"/>
            <w:tcBorders>
              <w:top w:val="nil"/>
              <w:left w:val="nil"/>
              <w:bottom w:val="nil"/>
              <w:right w:val="nil"/>
            </w:tcBorders>
            <w:vAlign w:val="center"/>
          </w:tcPr>
          <w:p w14:paraId="12750CD5" w14:textId="035194A8"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35</w:t>
            </w:r>
          </w:p>
        </w:tc>
        <w:tc>
          <w:tcPr>
            <w:tcW w:w="1167" w:type="dxa"/>
            <w:tcBorders>
              <w:top w:val="nil"/>
              <w:left w:val="nil"/>
              <w:bottom w:val="nil"/>
              <w:right w:val="nil"/>
            </w:tcBorders>
            <w:vAlign w:val="center"/>
          </w:tcPr>
          <w:p w14:paraId="2F7A00ED" w14:textId="09B858A5"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161,6</w:t>
            </w:r>
          </w:p>
        </w:tc>
        <w:tc>
          <w:tcPr>
            <w:tcW w:w="959" w:type="dxa"/>
            <w:tcBorders>
              <w:top w:val="nil"/>
              <w:left w:val="nil"/>
              <w:bottom w:val="nil"/>
              <w:right w:val="nil"/>
            </w:tcBorders>
            <w:vAlign w:val="center"/>
          </w:tcPr>
          <w:p w14:paraId="76824AC1" w14:textId="25A5F14D"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23</w:t>
            </w:r>
          </w:p>
        </w:tc>
        <w:tc>
          <w:tcPr>
            <w:tcW w:w="1134" w:type="dxa"/>
            <w:tcBorders>
              <w:top w:val="nil"/>
              <w:left w:val="nil"/>
              <w:bottom w:val="nil"/>
              <w:right w:val="nil"/>
            </w:tcBorders>
            <w:vAlign w:val="center"/>
          </w:tcPr>
          <w:p w14:paraId="7F7AB2F7" w14:textId="52580873"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192,9</w:t>
            </w:r>
          </w:p>
        </w:tc>
        <w:tc>
          <w:tcPr>
            <w:tcW w:w="992" w:type="dxa"/>
            <w:tcBorders>
              <w:top w:val="nil"/>
              <w:left w:val="nil"/>
              <w:bottom w:val="nil"/>
              <w:right w:val="nil"/>
            </w:tcBorders>
            <w:vAlign w:val="center"/>
          </w:tcPr>
          <w:p w14:paraId="21309A74" w14:textId="0C55841F"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10</w:t>
            </w:r>
          </w:p>
        </w:tc>
        <w:tc>
          <w:tcPr>
            <w:tcW w:w="1134" w:type="dxa"/>
            <w:tcBorders>
              <w:top w:val="nil"/>
              <w:left w:val="nil"/>
              <w:bottom w:val="nil"/>
              <w:right w:val="nil"/>
            </w:tcBorders>
            <w:vAlign w:val="center"/>
          </w:tcPr>
          <w:p w14:paraId="60A21D32" w14:textId="7AA2D79C" w:rsidR="00656550" w:rsidRPr="00C44EE6" w:rsidRDefault="008B79D3" w:rsidP="00FF3C2B">
            <w:pPr>
              <w:pStyle w:val="24"/>
              <w:jc w:val="right"/>
              <w:rPr>
                <w:rFonts w:ascii="Times New Roman UniToktom" w:hAnsi="Times New Roman UniToktom" w:cs="Times New Roman UniToktom"/>
                <w:sz w:val="18"/>
                <w:szCs w:val="18"/>
                <w:lang w:val="ky-KG"/>
              </w:rPr>
            </w:pPr>
            <w:r w:rsidRPr="00C44EE6">
              <w:rPr>
                <w:rFonts w:ascii="Times New Roman UniToktom" w:hAnsi="Times New Roman UniToktom" w:cs="Times New Roman UniToktom"/>
                <w:sz w:val="18"/>
                <w:szCs w:val="18"/>
                <w:lang w:val="ky-KG"/>
              </w:rPr>
              <w:t>-31,3</w:t>
            </w:r>
          </w:p>
        </w:tc>
        <w:tc>
          <w:tcPr>
            <w:tcW w:w="1594" w:type="dxa"/>
            <w:gridSpan w:val="2"/>
            <w:tcBorders>
              <w:top w:val="nil"/>
              <w:left w:val="nil"/>
              <w:bottom w:val="nil"/>
              <w:right w:val="nil"/>
            </w:tcBorders>
          </w:tcPr>
          <w:p w14:paraId="4646E4D3" w14:textId="77777777" w:rsidR="00656550" w:rsidRPr="00C44EE6" w:rsidRDefault="00656550" w:rsidP="00FF3C2B">
            <w:pPr>
              <w:pStyle w:val="24"/>
              <w:jc w:val="both"/>
              <w:rPr>
                <w:rFonts w:ascii="Times New Roman UniToktom" w:hAnsi="Times New Roman UniToktom" w:cs="Times New Roman UniToktom"/>
                <w:i/>
                <w:sz w:val="18"/>
                <w:szCs w:val="18"/>
                <w:lang w:val="ky-KG"/>
              </w:rPr>
            </w:pPr>
            <w:r w:rsidRPr="00C44EE6">
              <w:rPr>
                <w:rFonts w:ascii="Times New Roman UniToktom" w:hAnsi="Times New Roman UniToktom" w:cs="Times New Roman UniToktom"/>
                <w:i/>
                <w:sz w:val="18"/>
                <w:szCs w:val="18"/>
                <w:lang w:val="ky-KG"/>
              </w:rPr>
              <w:t xml:space="preserve">г. Таш-Кумыр </w:t>
            </w:r>
          </w:p>
        </w:tc>
      </w:tr>
      <w:tr w:rsidR="00C44EE6" w:rsidRPr="00C44EE6" w14:paraId="161C4290" w14:textId="77777777" w:rsidTr="00372228">
        <w:tc>
          <w:tcPr>
            <w:tcW w:w="1734" w:type="dxa"/>
            <w:tcBorders>
              <w:top w:val="nil"/>
              <w:left w:val="nil"/>
              <w:bottom w:val="single" w:sz="4" w:space="0" w:color="auto"/>
              <w:right w:val="nil"/>
            </w:tcBorders>
          </w:tcPr>
          <w:p w14:paraId="345F0C15" w14:textId="77777777" w:rsidR="00656550" w:rsidRPr="00C44EE6" w:rsidRDefault="00656550" w:rsidP="00FF3C2B">
            <w:pPr>
              <w:pStyle w:val="24"/>
              <w:jc w:val="both"/>
              <w:rPr>
                <w:rFonts w:ascii="Times New Roman UniToktom" w:hAnsi="Times New Roman UniToktom" w:cs="Times New Roman UniToktom"/>
                <w:sz w:val="12"/>
                <w:szCs w:val="12"/>
              </w:rPr>
            </w:pPr>
          </w:p>
        </w:tc>
        <w:tc>
          <w:tcPr>
            <w:tcW w:w="959" w:type="dxa"/>
            <w:tcBorders>
              <w:top w:val="nil"/>
              <w:left w:val="nil"/>
              <w:bottom w:val="single" w:sz="4" w:space="0" w:color="auto"/>
              <w:right w:val="nil"/>
            </w:tcBorders>
            <w:vAlign w:val="center"/>
          </w:tcPr>
          <w:p w14:paraId="3D5F62F6" w14:textId="77777777" w:rsidR="00656550" w:rsidRPr="00C44EE6" w:rsidRDefault="00656550" w:rsidP="00FF3C2B">
            <w:pPr>
              <w:pStyle w:val="24"/>
              <w:jc w:val="center"/>
              <w:rPr>
                <w:rFonts w:ascii="Times New Roman UniToktom" w:hAnsi="Times New Roman UniToktom" w:cs="Times New Roman UniToktom"/>
                <w:sz w:val="12"/>
                <w:szCs w:val="12"/>
              </w:rPr>
            </w:pPr>
          </w:p>
        </w:tc>
        <w:tc>
          <w:tcPr>
            <w:tcW w:w="1167" w:type="dxa"/>
            <w:tcBorders>
              <w:top w:val="nil"/>
              <w:left w:val="nil"/>
              <w:bottom w:val="single" w:sz="4" w:space="0" w:color="auto"/>
              <w:right w:val="nil"/>
            </w:tcBorders>
            <w:vAlign w:val="center"/>
          </w:tcPr>
          <w:p w14:paraId="0F644F56" w14:textId="77777777" w:rsidR="00656550" w:rsidRPr="00C44EE6" w:rsidRDefault="00656550" w:rsidP="00FF3C2B">
            <w:pPr>
              <w:pStyle w:val="24"/>
              <w:jc w:val="center"/>
              <w:rPr>
                <w:rFonts w:ascii="Times New Roman UniToktom" w:hAnsi="Times New Roman UniToktom" w:cs="Times New Roman UniToktom"/>
                <w:sz w:val="12"/>
                <w:szCs w:val="12"/>
              </w:rPr>
            </w:pPr>
          </w:p>
        </w:tc>
        <w:tc>
          <w:tcPr>
            <w:tcW w:w="959" w:type="dxa"/>
            <w:tcBorders>
              <w:top w:val="nil"/>
              <w:left w:val="nil"/>
              <w:bottom w:val="single" w:sz="4" w:space="0" w:color="auto"/>
              <w:right w:val="nil"/>
            </w:tcBorders>
            <w:vAlign w:val="center"/>
          </w:tcPr>
          <w:p w14:paraId="16445329" w14:textId="77777777" w:rsidR="00656550" w:rsidRPr="00C44EE6" w:rsidRDefault="00656550" w:rsidP="00FF3C2B">
            <w:pPr>
              <w:pStyle w:val="24"/>
              <w:jc w:val="center"/>
              <w:rPr>
                <w:rFonts w:ascii="Times New Roman UniToktom" w:hAnsi="Times New Roman UniToktom" w:cs="Times New Roman UniToktom"/>
                <w:sz w:val="12"/>
                <w:szCs w:val="12"/>
              </w:rPr>
            </w:pPr>
          </w:p>
        </w:tc>
        <w:tc>
          <w:tcPr>
            <w:tcW w:w="1134" w:type="dxa"/>
            <w:tcBorders>
              <w:top w:val="nil"/>
              <w:left w:val="nil"/>
              <w:bottom w:val="single" w:sz="4" w:space="0" w:color="auto"/>
              <w:right w:val="nil"/>
            </w:tcBorders>
            <w:vAlign w:val="center"/>
          </w:tcPr>
          <w:p w14:paraId="56371938" w14:textId="77777777" w:rsidR="00656550" w:rsidRPr="00C44EE6" w:rsidRDefault="00656550" w:rsidP="00FF3C2B">
            <w:pPr>
              <w:pStyle w:val="24"/>
              <w:jc w:val="center"/>
              <w:rPr>
                <w:rFonts w:ascii="Times New Roman UniToktom" w:hAnsi="Times New Roman UniToktom" w:cs="Times New Roman UniToktom"/>
                <w:sz w:val="12"/>
                <w:szCs w:val="12"/>
              </w:rPr>
            </w:pPr>
          </w:p>
        </w:tc>
        <w:tc>
          <w:tcPr>
            <w:tcW w:w="992" w:type="dxa"/>
            <w:tcBorders>
              <w:top w:val="nil"/>
              <w:left w:val="nil"/>
              <w:bottom w:val="single" w:sz="4" w:space="0" w:color="auto"/>
              <w:right w:val="nil"/>
            </w:tcBorders>
            <w:vAlign w:val="center"/>
          </w:tcPr>
          <w:p w14:paraId="1ACF6492" w14:textId="77777777" w:rsidR="00656550" w:rsidRPr="00C44EE6" w:rsidRDefault="00656550" w:rsidP="00FF3C2B">
            <w:pPr>
              <w:pStyle w:val="24"/>
              <w:jc w:val="center"/>
              <w:rPr>
                <w:rFonts w:ascii="Times New Roman UniToktom" w:hAnsi="Times New Roman UniToktom" w:cs="Times New Roman UniToktom"/>
                <w:sz w:val="12"/>
                <w:szCs w:val="12"/>
              </w:rPr>
            </w:pPr>
          </w:p>
        </w:tc>
        <w:tc>
          <w:tcPr>
            <w:tcW w:w="1134" w:type="dxa"/>
            <w:tcBorders>
              <w:top w:val="nil"/>
              <w:left w:val="nil"/>
              <w:bottom w:val="single" w:sz="4" w:space="0" w:color="auto"/>
              <w:right w:val="nil"/>
            </w:tcBorders>
            <w:vAlign w:val="center"/>
          </w:tcPr>
          <w:p w14:paraId="2151E5BF" w14:textId="77777777" w:rsidR="00656550" w:rsidRPr="00C44EE6" w:rsidRDefault="00656550" w:rsidP="00FF3C2B">
            <w:pPr>
              <w:pStyle w:val="24"/>
              <w:jc w:val="center"/>
              <w:rPr>
                <w:rFonts w:ascii="Times New Roman UniToktom" w:hAnsi="Times New Roman UniToktom" w:cs="Times New Roman UniToktom"/>
                <w:sz w:val="12"/>
                <w:szCs w:val="12"/>
              </w:rPr>
            </w:pPr>
          </w:p>
        </w:tc>
        <w:tc>
          <w:tcPr>
            <w:tcW w:w="1594" w:type="dxa"/>
            <w:gridSpan w:val="2"/>
            <w:tcBorders>
              <w:top w:val="nil"/>
              <w:left w:val="nil"/>
              <w:bottom w:val="single" w:sz="4" w:space="0" w:color="auto"/>
              <w:right w:val="nil"/>
            </w:tcBorders>
          </w:tcPr>
          <w:p w14:paraId="5DE78669" w14:textId="77777777" w:rsidR="00656550" w:rsidRPr="00C44EE6" w:rsidRDefault="00656550" w:rsidP="00FF3C2B">
            <w:pPr>
              <w:pStyle w:val="24"/>
              <w:jc w:val="both"/>
              <w:rPr>
                <w:rFonts w:ascii="Times New Roman UniToktom" w:hAnsi="Times New Roman UniToktom" w:cs="Times New Roman UniToktom"/>
                <w:sz w:val="12"/>
                <w:szCs w:val="12"/>
              </w:rPr>
            </w:pPr>
          </w:p>
        </w:tc>
      </w:tr>
      <w:tr w:rsidR="00C44EE6" w:rsidRPr="00C44EE6" w14:paraId="73E17BAB" w14:textId="77777777" w:rsidTr="003722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4" w:type="dxa"/>
        </w:trPr>
        <w:tc>
          <w:tcPr>
            <w:tcW w:w="4819" w:type="dxa"/>
            <w:gridSpan w:val="4"/>
          </w:tcPr>
          <w:p w14:paraId="55324EAD" w14:textId="77777777" w:rsidR="00656550" w:rsidRPr="00C44EE6" w:rsidRDefault="00656550" w:rsidP="00FF3C2B">
            <w:pPr>
              <w:pStyle w:val="a8"/>
              <w:ind w:left="0"/>
              <w:jc w:val="both"/>
              <w:rPr>
                <w:sz w:val="24"/>
              </w:rPr>
            </w:pPr>
            <w:r w:rsidRPr="00C44EE6">
              <w:rPr>
                <w:sz w:val="24"/>
                <w:lang w:val="ky-KG"/>
              </w:rPr>
              <w:t xml:space="preserve">       </w:t>
            </w:r>
            <w:proofErr w:type="spellStart"/>
            <w:r w:rsidRPr="00C44EE6">
              <w:rPr>
                <w:sz w:val="24"/>
              </w:rPr>
              <w:t>Ишканалардын</w:t>
            </w:r>
            <w:proofErr w:type="spellEnd"/>
            <w:r w:rsidRPr="00C44EE6">
              <w:rPr>
                <w:sz w:val="24"/>
              </w:rPr>
              <w:t xml:space="preserve"> </w:t>
            </w:r>
            <w:proofErr w:type="spellStart"/>
            <w:r w:rsidRPr="00C44EE6">
              <w:rPr>
                <w:sz w:val="24"/>
              </w:rPr>
              <w:t>өз</w:t>
            </w:r>
            <w:proofErr w:type="spellEnd"/>
            <w:r w:rsidRPr="00C44EE6">
              <w:rPr>
                <w:sz w:val="24"/>
              </w:rPr>
              <w:t xml:space="preserve"> ара </w:t>
            </w:r>
            <w:proofErr w:type="spellStart"/>
            <w:r w:rsidRPr="00C44EE6">
              <w:rPr>
                <w:sz w:val="24"/>
              </w:rPr>
              <w:t>карыздар</w:t>
            </w:r>
            <w:proofErr w:type="spellEnd"/>
            <w:r w:rsidRPr="00C44EE6">
              <w:rPr>
                <w:sz w:val="24"/>
              </w:rPr>
              <w:t xml:space="preserve"> </w:t>
            </w:r>
            <w:proofErr w:type="spellStart"/>
            <w:r w:rsidRPr="00C44EE6">
              <w:rPr>
                <w:sz w:val="24"/>
              </w:rPr>
              <w:t>маселелери</w:t>
            </w:r>
            <w:proofErr w:type="spellEnd"/>
            <w:r w:rsidRPr="00C44EE6">
              <w:rPr>
                <w:sz w:val="24"/>
                <w:lang w:val="ky-KG"/>
              </w:rPr>
              <w:t xml:space="preserve"> </w:t>
            </w:r>
            <w:proofErr w:type="spellStart"/>
            <w:r w:rsidRPr="00C44EE6">
              <w:rPr>
                <w:sz w:val="24"/>
              </w:rPr>
              <w:t>акыркы</w:t>
            </w:r>
            <w:proofErr w:type="spellEnd"/>
            <w:r w:rsidRPr="00C44EE6">
              <w:rPr>
                <w:sz w:val="24"/>
              </w:rPr>
              <w:t xml:space="preserve"> </w:t>
            </w:r>
            <w:proofErr w:type="spellStart"/>
            <w:r w:rsidRPr="00C44EE6">
              <w:rPr>
                <w:sz w:val="24"/>
              </w:rPr>
              <w:t>беш</w:t>
            </w:r>
            <w:proofErr w:type="spellEnd"/>
            <w:r w:rsidRPr="00C44EE6">
              <w:rPr>
                <w:sz w:val="24"/>
              </w:rPr>
              <w:t xml:space="preserve"> </w:t>
            </w:r>
            <w:proofErr w:type="spellStart"/>
            <w:r w:rsidRPr="00C44EE6">
              <w:rPr>
                <w:sz w:val="24"/>
              </w:rPr>
              <w:t>жыл</w:t>
            </w:r>
            <w:proofErr w:type="spellEnd"/>
            <w:r w:rsidRPr="00C44EE6">
              <w:rPr>
                <w:sz w:val="24"/>
              </w:rPr>
              <w:t xml:space="preserve"> </w:t>
            </w:r>
            <w:proofErr w:type="spellStart"/>
            <w:r w:rsidRPr="00C44EE6">
              <w:rPr>
                <w:sz w:val="24"/>
              </w:rPr>
              <w:t>ичинде</w:t>
            </w:r>
            <w:proofErr w:type="spellEnd"/>
            <w:r w:rsidRPr="00C44EE6">
              <w:rPr>
                <w:sz w:val="24"/>
                <w:lang w:val="ky-KG"/>
              </w:rPr>
              <w:t xml:space="preserve"> </w:t>
            </w:r>
            <w:proofErr w:type="spellStart"/>
            <w:r w:rsidRPr="00C44EE6">
              <w:rPr>
                <w:sz w:val="24"/>
              </w:rPr>
              <w:t>сакталган</w:t>
            </w:r>
            <w:proofErr w:type="spellEnd"/>
            <w:r w:rsidRPr="00C44EE6">
              <w:rPr>
                <w:sz w:val="24"/>
              </w:rPr>
              <w:t>.</w:t>
            </w:r>
          </w:p>
        </w:tc>
        <w:tc>
          <w:tcPr>
            <w:tcW w:w="4820" w:type="dxa"/>
            <w:gridSpan w:val="4"/>
          </w:tcPr>
          <w:p w14:paraId="06011DD1" w14:textId="77777777" w:rsidR="00656550" w:rsidRPr="00C44EE6" w:rsidRDefault="00656550" w:rsidP="00FF3C2B">
            <w:pPr>
              <w:pStyle w:val="a8"/>
              <w:ind w:left="35"/>
              <w:jc w:val="both"/>
              <w:rPr>
                <w:i/>
                <w:sz w:val="24"/>
              </w:rPr>
            </w:pPr>
            <w:r w:rsidRPr="00C44EE6">
              <w:rPr>
                <w:i/>
                <w:sz w:val="24"/>
                <w:lang w:val="ky-KG"/>
              </w:rPr>
              <w:t xml:space="preserve">      </w:t>
            </w:r>
            <w:r w:rsidRPr="00C44EE6">
              <w:rPr>
                <w:i/>
                <w:sz w:val="24"/>
              </w:rPr>
              <w:t>Проблема взаимной задолженности предприятий сохраняется в течении последних пяти лет.</w:t>
            </w:r>
          </w:p>
        </w:tc>
      </w:tr>
      <w:tr w:rsidR="00C44EE6" w:rsidRPr="00C44EE6" w14:paraId="4B3428EB" w14:textId="77777777" w:rsidTr="003722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4" w:type="dxa"/>
          <w:trHeight w:val="2441"/>
        </w:trPr>
        <w:tc>
          <w:tcPr>
            <w:tcW w:w="4819" w:type="dxa"/>
            <w:gridSpan w:val="4"/>
          </w:tcPr>
          <w:p w14:paraId="2C52376C" w14:textId="371EF7B3" w:rsidR="00656550" w:rsidRPr="00C44EE6" w:rsidRDefault="00656550" w:rsidP="00FF3C2B">
            <w:pPr>
              <w:pStyle w:val="a8"/>
              <w:ind w:left="0"/>
              <w:jc w:val="both"/>
              <w:rPr>
                <w:sz w:val="24"/>
                <w:lang w:val="ky-KG"/>
              </w:rPr>
            </w:pPr>
            <w:r w:rsidRPr="00C44EE6">
              <w:rPr>
                <w:sz w:val="24"/>
                <w:lang w:val="ky-KG"/>
              </w:rPr>
              <w:t xml:space="preserve">     Облустагы ишканалардын экономиканын реалдуу сектордо 202</w:t>
            </w:r>
            <w:r w:rsidR="00210496" w:rsidRPr="00C44EE6">
              <w:rPr>
                <w:sz w:val="24"/>
                <w:lang w:val="ky-KG"/>
              </w:rPr>
              <w:t>4</w:t>
            </w:r>
            <w:r w:rsidRPr="00C44EE6">
              <w:rPr>
                <w:sz w:val="24"/>
                <w:lang w:val="ky-KG"/>
              </w:rPr>
              <w:t xml:space="preserve">-жылдын аягына карата дебитордук карыздарды – </w:t>
            </w:r>
            <w:r w:rsidR="00210496" w:rsidRPr="00C44EE6">
              <w:rPr>
                <w:sz w:val="24"/>
                <w:lang w:val="ky-KG"/>
              </w:rPr>
              <w:t>24 613,0</w:t>
            </w:r>
            <w:r w:rsidRPr="00C44EE6">
              <w:rPr>
                <w:sz w:val="24"/>
                <w:lang w:val="ky-KG"/>
              </w:rPr>
              <w:t xml:space="preserve"> млн. сомду түзгөн жана 202</w:t>
            </w:r>
            <w:r w:rsidR="00210496" w:rsidRPr="00C44EE6">
              <w:rPr>
                <w:sz w:val="24"/>
                <w:lang w:val="ky-KG"/>
              </w:rPr>
              <w:t>3</w:t>
            </w:r>
            <w:r w:rsidRPr="00C44EE6">
              <w:rPr>
                <w:sz w:val="24"/>
                <w:lang w:val="ky-KG"/>
              </w:rPr>
              <w:t xml:space="preserve">-жылдын аягына салыштырмалуу  1 </w:t>
            </w:r>
            <w:r w:rsidR="00210496" w:rsidRPr="00C44EE6">
              <w:rPr>
                <w:sz w:val="24"/>
                <w:lang w:val="ky-KG"/>
              </w:rPr>
              <w:t>827</w:t>
            </w:r>
            <w:r w:rsidRPr="00C44EE6">
              <w:rPr>
                <w:sz w:val="24"/>
                <w:lang w:val="ky-KG"/>
              </w:rPr>
              <w:t>,1 млн сомго азайган, ал эми 20</w:t>
            </w:r>
            <w:r w:rsidR="00210496" w:rsidRPr="00C44EE6">
              <w:rPr>
                <w:sz w:val="24"/>
                <w:lang w:val="ky-KG"/>
              </w:rPr>
              <w:t>20</w:t>
            </w:r>
            <w:r w:rsidRPr="00C44EE6">
              <w:rPr>
                <w:sz w:val="24"/>
                <w:lang w:val="ky-KG"/>
              </w:rPr>
              <w:t xml:space="preserve">-жылга карата </w:t>
            </w:r>
            <w:r w:rsidR="003E55D2" w:rsidRPr="00C44EE6">
              <w:rPr>
                <w:sz w:val="24"/>
                <w:lang w:val="ky-KG"/>
              </w:rPr>
              <w:t>1,6</w:t>
            </w:r>
            <w:r w:rsidRPr="00C44EE6">
              <w:rPr>
                <w:sz w:val="24"/>
                <w:lang w:val="ky-KG"/>
              </w:rPr>
              <w:t xml:space="preserve"> эсеге көбөйгөн.</w:t>
            </w:r>
          </w:p>
        </w:tc>
        <w:tc>
          <w:tcPr>
            <w:tcW w:w="4820" w:type="dxa"/>
            <w:gridSpan w:val="4"/>
          </w:tcPr>
          <w:p w14:paraId="6924FE14" w14:textId="69E64AF6" w:rsidR="00656550" w:rsidRPr="00C44EE6" w:rsidRDefault="00656550" w:rsidP="00FF3C2B">
            <w:pPr>
              <w:jc w:val="both"/>
              <w:rPr>
                <w:i/>
                <w:sz w:val="24"/>
              </w:rPr>
            </w:pPr>
            <w:r w:rsidRPr="00C44EE6">
              <w:rPr>
                <w:i/>
                <w:sz w:val="24"/>
                <w:szCs w:val="24"/>
                <w:lang w:val="ky-KG"/>
              </w:rPr>
              <w:t xml:space="preserve">     </w:t>
            </w:r>
            <w:r w:rsidRPr="00C44EE6">
              <w:rPr>
                <w:i/>
                <w:sz w:val="24"/>
                <w:szCs w:val="24"/>
              </w:rPr>
              <w:t xml:space="preserve">Дебиторская задолженность </w:t>
            </w:r>
            <w:proofErr w:type="gramStart"/>
            <w:r w:rsidRPr="00C44EE6">
              <w:rPr>
                <w:i/>
                <w:sz w:val="24"/>
                <w:szCs w:val="24"/>
              </w:rPr>
              <w:t>пред</w:t>
            </w:r>
            <w:r w:rsidRPr="00C44EE6">
              <w:rPr>
                <w:i/>
                <w:sz w:val="24"/>
                <w:szCs w:val="24"/>
                <w:lang w:val="ky-KG"/>
              </w:rPr>
              <w:t>-</w:t>
            </w:r>
            <w:r w:rsidRPr="00C44EE6">
              <w:rPr>
                <w:i/>
                <w:sz w:val="24"/>
                <w:szCs w:val="24"/>
              </w:rPr>
              <w:t>приятий</w:t>
            </w:r>
            <w:proofErr w:type="gramEnd"/>
            <w:r w:rsidRPr="00C44EE6">
              <w:rPr>
                <w:i/>
                <w:sz w:val="24"/>
                <w:szCs w:val="24"/>
              </w:rPr>
              <w:t xml:space="preserve"> реального сектора экономики области на</w:t>
            </w:r>
            <w:r w:rsidRPr="00C44EE6">
              <w:rPr>
                <w:i/>
                <w:sz w:val="24"/>
                <w:szCs w:val="24"/>
                <w:lang w:val="ky-KG"/>
              </w:rPr>
              <w:t xml:space="preserve"> </w:t>
            </w:r>
            <w:r w:rsidRPr="00C44EE6">
              <w:rPr>
                <w:i/>
                <w:sz w:val="24"/>
                <w:szCs w:val="24"/>
              </w:rPr>
              <w:t>конец 20</w:t>
            </w:r>
            <w:r w:rsidRPr="00C44EE6">
              <w:rPr>
                <w:i/>
                <w:sz w:val="24"/>
                <w:szCs w:val="24"/>
                <w:lang w:val="ky-KG"/>
              </w:rPr>
              <w:t>2</w:t>
            </w:r>
            <w:r w:rsidR="003E55D2" w:rsidRPr="00C44EE6">
              <w:rPr>
                <w:i/>
                <w:sz w:val="24"/>
                <w:szCs w:val="24"/>
                <w:lang w:val="ky-KG"/>
              </w:rPr>
              <w:t>4</w:t>
            </w:r>
            <w:r w:rsidRPr="00C44EE6">
              <w:rPr>
                <w:i/>
                <w:sz w:val="24"/>
                <w:szCs w:val="24"/>
              </w:rPr>
              <w:t xml:space="preserve"> года составила </w:t>
            </w:r>
            <w:r w:rsidRPr="00C44EE6">
              <w:rPr>
                <w:i/>
                <w:sz w:val="24"/>
                <w:szCs w:val="24"/>
                <w:lang w:val="ky-KG"/>
              </w:rPr>
              <w:t>2</w:t>
            </w:r>
            <w:r w:rsidR="003E55D2" w:rsidRPr="00C44EE6">
              <w:rPr>
                <w:i/>
                <w:sz w:val="24"/>
                <w:szCs w:val="24"/>
                <w:lang w:val="ky-KG"/>
              </w:rPr>
              <w:t>4 613,0</w:t>
            </w:r>
            <w:r w:rsidRPr="00C44EE6">
              <w:rPr>
                <w:i/>
                <w:sz w:val="24"/>
                <w:szCs w:val="24"/>
              </w:rPr>
              <w:t xml:space="preserve"> млн. сомов, </w:t>
            </w:r>
            <w:r w:rsidRPr="00C44EE6">
              <w:rPr>
                <w:i/>
                <w:sz w:val="24"/>
                <w:szCs w:val="24"/>
                <w:lang w:val="ky-KG"/>
              </w:rPr>
              <w:t>уменьшилас</w:t>
            </w:r>
            <w:r w:rsidRPr="00C44EE6">
              <w:rPr>
                <w:i/>
                <w:sz w:val="24"/>
                <w:szCs w:val="24"/>
              </w:rPr>
              <w:t>ь по сравнению с объемом соответствующего периода 20</w:t>
            </w:r>
            <w:r w:rsidRPr="00C44EE6">
              <w:rPr>
                <w:i/>
                <w:sz w:val="24"/>
                <w:szCs w:val="24"/>
                <w:lang w:val="ky-KG"/>
              </w:rPr>
              <w:t>2</w:t>
            </w:r>
            <w:r w:rsidR="003E55D2" w:rsidRPr="00C44EE6">
              <w:rPr>
                <w:i/>
                <w:sz w:val="24"/>
                <w:szCs w:val="24"/>
                <w:lang w:val="ky-KG"/>
              </w:rPr>
              <w:t>3</w:t>
            </w:r>
            <w:r w:rsidRPr="00C44EE6">
              <w:rPr>
                <w:i/>
                <w:sz w:val="24"/>
                <w:szCs w:val="24"/>
              </w:rPr>
              <w:t xml:space="preserve">г., на </w:t>
            </w:r>
            <w:r w:rsidRPr="00C44EE6">
              <w:rPr>
                <w:i/>
                <w:sz w:val="24"/>
                <w:szCs w:val="24"/>
                <w:lang w:val="ky-KG"/>
              </w:rPr>
              <w:t>1 </w:t>
            </w:r>
            <w:r w:rsidR="003E55D2" w:rsidRPr="00C44EE6">
              <w:rPr>
                <w:i/>
                <w:sz w:val="24"/>
                <w:szCs w:val="24"/>
                <w:lang w:val="ky-KG"/>
              </w:rPr>
              <w:t>827</w:t>
            </w:r>
            <w:r w:rsidRPr="00C44EE6">
              <w:rPr>
                <w:i/>
                <w:sz w:val="24"/>
                <w:szCs w:val="24"/>
                <w:lang w:val="ky-KG"/>
              </w:rPr>
              <w:t>,1</w:t>
            </w:r>
            <w:r w:rsidRPr="00C44EE6">
              <w:rPr>
                <w:i/>
                <w:sz w:val="24"/>
                <w:szCs w:val="24"/>
              </w:rPr>
              <w:t xml:space="preserve"> млн. сомов, а по сравнению с 20</w:t>
            </w:r>
            <w:r w:rsidR="003E55D2" w:rsidRPr="00C44EE6">
              <w:rPr>
                <w:i/>
                <w:sz w:val="24"/>
                <w:szCs w:val="24"/>
              </w:rPr>
              <w:t>20</w:t>
            </w:r>
            <w:r w:rsidRPr="00C44EE6">
              <w:rPr>
                <w:i/>
                <w:sz w:val="24"/>
                <w:szCs w:val="24"/>
              </w:rPr>
              <w:t xml:space="preserve">г. она увеличилась в </w:t>
            </w:r>
            <w:r w:rsidR="003E55D2" w:rsidRPr="00C44EE6">
              <w:rPr>
                <w:i/>
                <w:sz w:val="24"/>
                <w:szCs w:val="24"/>
              </w:rPr>
              <w:t>1,6</w:t>
            </w:r>
            <w:r w:rsidRPr="00C44EE6">
              <w:rPr>
                <w:i/>
                <w:sz w:val="24"/>
                <w:szCs w:val="24"/>
                <w:lang w:val="ky-KG"/>
              </w:rPr>
              <w:t xml:space="preserve"> раза</w:t>
            </w:r>
            <w:r w:rsidRPr="00C44EE6">
              <w:rPr>
                <w:i/>
                <w:sz w:val="24"/>
                <w:szCs w:val="24"/>
              </w:rPr>
              <w:t>.</w:t>
            </w:r>
          </w:p>
        </w:tc>
      </w:tr>
      <w:tr w:rsidR="00C44EE6" w:rsidRPr="00C44EE6" w14:paraId="5B93C614" w14:textId="77777777" w:rsidTr="003722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4" w:type="dxa"/>
        </w:trPr>
        <w:tc>
          <w:tcPr>
            <w:tcW w:w="4819" w:type="dxa"/>
            <w:gridSpan w:val="4"/>
          </w:tcPr>
          <w:p w14:paraId="2B12AF8A" w14:textId="38BDDB87" w:rsidR="00656550" w:rsidRPr="00C44EE6" w:rsidRDefault="00656550" w:rsidP="00FF3C2B">
            <w:pPr>
              <w:pStyle w:val="a8"/>
              <w:ind w:left="0"/>
              <w:jc w:val="both"/>
              <w:rPr>
                <w:sz w:val="24"/>
                <w:lang w:val="ky-KG"/>
              </w:rPr>
            </w:pPr>
            <w:r w:rsidRPr="00C44EE6">
              <w:rPr>
                <w:sz w:val="24"/>
                <w:lang w:val="ky-KG"/>
              </w:rPr>
              <w:t xml:space="preserve">      202</w:t>
            </w:r>
            <w:r w:rsidR="003E55D2" w:rsidRPr="00C44EE6">
              <w:rPr>
                <w:sz w:val="24"/>
                <w:lang w:val="ky-KG"/>
              </w:rPr>
              <w:t>4</w:t>
            </w:r>
            <w:r w:rsidRPr="00C44EE6">
              <w:rPr>
                <w:sz w:val="24"/>
                <w:lang w:val="ky-KG"/>
              </w:rPr>
              <w:t>-жылы экономикалык ишмер-диктин түрлөрү дебитордук карыздардын негизги бөлүгү өткөн жылга салыштырмалуу  курулуш тармагында 6</w:t>
            </w:r>
            <w:r w:rsidR="004C3768" w:rsidRPr="00C44EE6">
              <w:rPr>
                <w:sz w:val="24"/>
                <w:lang w:val="ky-KG"/>
              </w:rPr>
              <w:t> 094,5</w:t>
            </w:r>
            <w:r w:rsidRPr="00C44EE6">
              <w:rPr>
                <w:sz w:val="24"/>
                <w:lang w:val="ky-KG"/>
              </w:rPr>
              <w:t xml:space="preserve"> млн. сомго (</w:t>
            </w:r>
            <w:r w:rsidR="004C3768" w:rsidRPr="00C44EE6">
              <w:rPr>
                <w:sz w:val="24"/>
                <w:lang w:val="ky-KG"/>
              </w:rPr>
              <w:t>6,4</w:t>
            </w:r>
            <w:r w:rsidRPr="00C44EE6">
              <w:rPr>
                <w:sz w:val="24"/>
                <w:lang w:val="ky-KG"/>
              </w:rPr>
              <w:t xml:space="preserve"> эсеге) көп, дүң жана чекене соода автоунааларды жана мотоциклдерди оңдоо тармагында 1</w:t>
            </w:r>
            <w:r w:rsidR="004C3768" w:rsidRPr="00C44EE6">
              <w:rPr>
                <w:sz w:val="24"/>
                <w:lang w:val="ky-KG"/>
              </w:rPr>
              <w:t>1</w:t>
            </w:r>
            <w:r w:rsidRPr="00C44EE6">
              <w:rPr>
                <w:sz w:val="24"/>
                <w:lang w:val="ky-KG"/>
              </w:rPr>
              <w:t>3,</w:t>
            </w:r>
            <w:r w:rsidR="004C3768" w:rsidRPr="00C44EE6">
              <w:rPr>
                <w:sz w:val="24"/>
                <w:lang w:val="ky-KG"/>
              </w:rPr>
              <w:t>8</w:t>
            </w:r>
            <w:r w:rsidRPr="00C44EE6">
              <w:rPr>
                <w:sz w:val="24"/>
                <w:lang w:val="ky-KG"/>
              </w:rPr>
              <w:t xml:space="preserve"> млн. сомго </w:t>
            </w:r>
            <w:r w:rsidR="004C3768" w:rsidRPr="00C44EE6">
              <w:rPr>
                <w:sz w:val="24"/>
                <w:lang w:val="ky-KG"/>
              </w:rPr>
              <w:t>35 пайызды түздү</w:t>
            </w:r>
            <w:r w:rsidRPr="00C44EE6">
              <w:rPr>
                <w:sz w:val="24"/>
                <w:lang w:val="ky-KG"/>
              </w:rPr>
              <w:t>.</w:t>
            </w:r>
          </w:p>
        </w:tc>
        <w:tc>
          <w:tcPr>
            <w:tcW w:w="4820" w:type="dxa"/>
            <w:gridSpan w:val="4"/>
          </w:tcPr>
          <w:p w14:paraId="06E517C1" w14:textId="213C3E7B" w:rsidR="00656550" w:rsidRPr="00C44EE6" w:rsidRDefault="00656550" w:rsidP="00FF3C2B">
            <w:pPr>
              <w:jc w:val="both"/>
              <w:rPr>
                <w:i/>
                <w:sz w:val="24"/>
                <w:szCs w:val="24"/>
                <w:lang w:val="ky-KG"/>
              </w:rPr>
            </w:pPr>
            <w:r w:rsidRPr="00C44EE6">
              <w:rPr>
                <w:i/>
                <w:sz w:val="24"/>
                <w:szCs w:val="24"/>
                <w:lang w:val="ky-KG"/>
              </w:rPr>
              <w:t xml:space="preserve">      </w:t>
            </w:r>
            <w:r w:rsidRPr="00C44EE6">
              <w:rPr>
                <w:i/>
                <w:sz w:val="24"/>
                <w:szCs w:val="24"/>
              </w:rPr>
              <w:t>В 20</w:t>
            </w:r>
            <w:r w:rsidRPr="00C44EE6">
              <w:rPr>
                <w:i/>
                <w:sz w:val="24"/>
                <w:szCs w:val="24"/>
                <w:lang w:val="ky-KG"/>
              </w:rPr>
              <w:t>2</w:t>
            </w:r>
            <w:r w:rsidR="004C3768" w:rsidRPr="00C44EE6">
              <w:rPr>
                <w:i/>
                <w:sz w:val="24"/>
                <w:szCs w:val="24"/>
                <w:lang w:val="ky-KG"/>
              </w:rPr>
              <w:t>4</w:t>
            </w:r>
            <w:r w:rsidRPr="00C44EE6">
              <w:rPr>
                <w:i/>
                <w:sz w:val="24"/>
                <w:szCs w:val="24"/>
                <w:lang w:val="ky-KG"/>
              </w:rPr>
              <w:t xml:space="preserve"> </w:t>
            </w:r>
            <w:r w:rsidRPr="00C44EE6">
              <w:rPr>
                <w:i/>
                <w:sz w:val="24"/>
                <w:szCs w:val="24"/>
              </w:rPr>
              <w:t>г</w:t>
            </w:r>
            <w:r w:rsidRPr="00C44EE6">
              <w:rPr>
                <w:i/>
                <w:sz w:val="24"/>
                <w:szCs w:val="24"/>
                <w:lang w:val="ky-KG"/>
              </w:rPr>
              <w:t>оду</w:t>
            </w:r>
            <w:r w:rsidRPr="00C44EE6">
              <w:rPr>
                <w:i/>
                <w:sz w:val="24"/>
                <w:szCs w:val="24"/>
              </w:rPr>
              <w:t xml:space="preserve"> по сравнению с предыдущим годом, увеличение задолженности дебиторов отмечено на предприятиях  </w:t>
            </w:r>
            <w:r w:rsidRPr="00C44EE6">
              <w:rPr>
                <w:i/>
                <w:sz w:val="24"/>
                <w:szCs w:val="24"/>
                <w:lang w:val="ky-KG"/>
              </w:rPr>
              <w:t xml:space="preserve"> строительства – на 6</w:t>
            </w:r>
            <w:r w:rsidR="004C3768" w:rsidRPr="00C44EE6">
              <w:rPr>
                <w:i/>
                <w:sz w:val="24"/>
                <w:szCs w:val="24"/>
                <w:lang w:val="ky-KG"/>
              </w:rPr>
              <w:t xml:space="preserve"> 09</w:t>
            </w:r>
            <w:r w:rsidRPr="00C44EE6">
              <w:rPr>
                <w:i/>
                <w:sz w:val="24"/>
                <w:szCs w:val="24"/>
                <w:lang w:val="ky-KG"/>
              </w:rPr>
              <w:t>4,5 млн. сомов,</w:t>
            </w:r>
            <w:r w:rsidRPr="00C44EE6">
              <w:rPr>
                <w:i/>
                <w:sz w:val="24"/>
                <w:szCs w:val="24"/>
              </w:rPr>
              <w:t xml:space="preserve"> (в </w:t>
            </w:r>
            <w:r w:rsidR="004C3768" w:rsidRPr="00C44EE6">
              <w:rPr>
                <w:i/>
                <w:sz w:val="24"/>
                <w:szCs w:val="24"/>
                <w:lang w:val="ky-KG"/>
              </w:rPr>
              <w:t>6,4</w:t>
            </w:r>
            <w:r w:rsidRPr="00C44EE6">
              <w:rPr>
                <w:i/>
                <w:sz w:val="24"/>
                <w:szCs w:val="24"/>
                <w:lang w:val="ky-KG"/>
              </w:rPr>
              <w:t xml:space="preserve"> раза больше</w:t>
            </w:r>
            <w:r w:rsidRPr="00C44EE6">
              <w:rPr>
                <w:i/>
                <w:sz w:val="24"/>
                <w:szCs w:val="24"/>
              </w:rPr>
              <w:t>)</w:t>
            </w:r>
            <w:r w:rsidRPr="00C44EE6">
              <w:rPr>
                <w:i/>
                <w:sz w:val="24"/>
                <w:szCs w:val="24"/>
                <w:lang w:val="ky-KG"/>
              </w:rPr>
              <w:t>, оптовой и розничной торговли: ремонта автомобилей и мотоциклов</w:t>
            </w:r>
            <w:r w:rsidRPr="00C44EE6">
              <w:rPr>
                <w:i/>
                <w:sz w:val="24"/>
                <w:szCs w:val="24"/>
              </w:rPr>
              <w:t xml:space="preserve"> – на </w:t>
            </w:r>
            <w:r w:rsidR="004C3768" w:rsidRPr="00C44EE6">
              <w:rPr>
                <w:i/>
                <w:sz w:val="24"/>
                <w:szCs w:val="24"/>
                <w:lang w:val="ky-KG"/>
              </w:rPr>
              <w:t>113,8</w:t>
            </w:r>
            <w:r w:rsidRPr="00C44EE6">
              <w:rPr>
                <w:i/>
                <w:sz w:val="24"/>
                <w:szCs w:val="24"/>
              </w:rPr>
              <w:t xml:space="preserve"> млн. сомов (в</w:t>
            </w:r>
            <w:r w:rsidR="004C3768" w:rsidRPr="00C44EE6">
              <w:rPr>
                <w:i/>
                <w:sz w:val="24"/>
                <w:szCs w:val="24"/>
                <w:lang w:val="ky-KG"/>
              </w:rPr>
              <w:t xml:space="preserve"> 35</w:t>
            </w:r>
            <w:r w:rsidRPr="00C44EE6">
              <w:rPr>
                <w:i/>
                <w:sz w:val="24"/>
                <w:szCs w:val="24"/>
              </w:rPr>
              <w:t xml:space="preserve"> </w:t>
            </w:r>
            <w:r w:rsidR="004C3768" w:rsidRPr="00C44EE6">
              <w:rPr>
                <w:i/>
                <w:sz w:val="24"/>
                <w:szCs w:val="24"/>
                <w:lang w:val="ky-KG"/>
              </w:rPr>
              <w:t>процента</w:t>
            </w:r>
            <w:r w:rsidRPr="00C44EE6">
              <w:rPr>
                <w:i/>
                <w:sz w:val="24"/>
                <w:szCs w:val="24"/>
                <w:lang w:val="ky-KG"/>
              </w:rPr>
              <w:t xml:space="preserve"> больше</w:t>
            </w:r>
            <w:r w:rsidRPr="00C44EE6">
              <w:rPr>
                <w:i/>
                <w:sz w:val="24"/>
                <w:szCs w:val="24"/>
              </w:rPr>
              <w:t>)</w:t>
            </w:r>
            <w:r w:rsidRPr="00C44EE6">
              <w:rPr>
                <w:i/>
                <w:sz w:val="24"/>
                <w:szCs w:val="24"/>
                <w:lang w:val="ky-KG"/>
              </w:rPr>
              <w:t xml:space="preserve">. </w:t>
            </w:r>
          </w:p>
          <w:p w14:paraId="1DCCF9B1" w14:textId="77777777" w:rsidR="00656550" w:rsidRPr="00C44EE6" w:rsidRDefault="00656550" w:rsidP="00FF3C2B">
            <w:pPr>
              <w:ind w:firstLine="708"/>
              <w:jc w:val="both"/>
              <w:rPr>
                <w:i/>
                <w:sz w:val="24"/>
              </w:rPr>
            </w:pPr>
          </w:p>
        </w:tc>
      </w:tr>
      <w:tr w:rsidR="00C44EE6" w:rsidRPr="00C44EE6" w14:paraId="64558C8C" w14:textId="77777777" w:rsidTr="003722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4" w:type="dxa"/>
        </w:trPr>
        <w:tc>
          <w:tcPr>
            <w:tcW w:w="4819" w:type="dxa"/>
            <w:gridSpan w:val="4"/>
          </w:tcPr>
          <w:p w14:paraId="4F22D1BE" w14:textId="3B2C8286" w:rsidR="00656550" w:rsidRPr="00C44EE6" w:rsidRDefault="00656550" w:rsidP="00FF3C2B">
            <w:pPr>
              <w:pStyle w:val="a8"/>
              <w:ind w:left="34"/>
              <w:jc w:val="both"/>
              <w:rPr>
                <w:sz w:val="24"/>
                <w:lang w:val="ky-KG"/>
              </w:rPr>
            </w:pPr>
            <w:r w:rsidRPr="00C44EE6">
              <w:rPr>
                <w:sz w:val="24"/>
                <w:lang w:val="ky-KG"/>
              </w:rPr>
              <w:t xml:space="preserve">     Ишканалардын жана уюмдардын кредитордук карыздары 202</w:t>
            </w:r>
            <w:r w:rsidR="00502446" w:rsidRPr="00C44EE6">
              <w:rPr>
                <w:sz w:val="24"/>
                <w:lang w:val="ky-KG"/>
              </w:rPr>
              <w:t>4</w:t>
            </w:r>
            <w:r w:rsidRPr="00C44EE6">
              <w:rPr>
                <w:sz w:val="24"/>
                <w:lang w:val="ky-KG"/>
              </w:rPr>
              <w:t xml:space="preserve">-жылдын аягына карата </w:t>
            </w:r>
            <w:r w:rsidR="00502446" w:rsidRPr="00C44EE6">
              <w:rPr>
                <w:sz w:val="24"/>
                <w:lang w:val="ky-KG"/>
              </w:rPr>
              <w:t>40 895,0</w:t>
            </w:r>
            <w:r w:rsidRPr="00C44EE6">
              <w:rPr>
                <w:sz w:val="24"/>
                <w:lang w:val="ky-KG"/>
              </w:rPr>
              <w:t xml:space="preserve"> млн. сомду түзгөн, </w:t>
            </w:r>
            <w:r w:rsidRPr="00C44EE6">
              <w:rPr>
                <w:sz w:val="24"/>
                <w:szCs w:val="24"/>
                <w:lang w:val="ky-KG"/>
              </w:rPr>
              <w:t>же 202</w:t>
            </w:r>
            <w:r w:rsidR="00502446" w:rsidRPr="00C44EE6">
              <w:rPr>
                <w:sz w:val="24"/>
                <w:szCs w:val="24"/>
                <w:lang w:val="ky-KG"/>
              </w:rPr>
              <w:t>3</w:t>
            </w:r>
            <w:r w:rsidRPr="00C44EE6">
              <w:rPr>
                <w:sz w:val="24"/>
                <w:szCs w:val="24"/>
                <w:lang w:val="ky-KG"/>
              </w:rPr>
              <w:t xml:space="preserve">-жылга салыштырмалуу </w:t>
            </w:r>
            <w:r w:rsidR="00502446" w:rsidRPr="00C44EE6">
              <w:rPr>
                <w:sz w:val="24"/>
                <w:szCs w:val="24"/>
                <w:lang w:val="ky-KG"/>
              </w:rPr>
              <w:t>7 381,2</w:t>
            </w:r>
            <w:r w:rsidRPr="00C44EE6">
              <w:rPr>
                <w:sz w:val="24"/>
                <w:szCs w:val="24"/>
                <w:lang w:val="ky-KG"/>
              </w:rPr>
              <w:t xml:space="preserve"> млн. сомго көбөйгөн, же  20</w:t>
            </w:r>
            <w:r w:rsidR="00502446" w:rsidRPr="00C44EE6">
              <w:rPr>
                <w:sz w:val="24"/>
                <w:szCs w:val="24"/>
                <w:lang w:val="ky-KG"/>
              </w:rPr>
              <w:t>20</w:t>
            </w:r>
            <w:r w:rsidRPr="00C44EE6">
              <w:rPr>
                <w:sz w:val="24"/>
                <w:szCs w:val="24"/>
                <w:lang w:val="ky-KG"/>
              </w:rPr>
              <w:t xml:space="preserve">-жылга салыштырмалуу </w:t>
            </w:r>
            <w:r w:rsidR="00502446" w:rsidRPr="00C44EE6">
              <w:rPr>
                <w:sz w:val="24"/>
                <w:szCs w:val="24"/>
                <w:lang w:val="ky-KG"/>
              </w:rPr>
              <w:t>72,5</w:t>
            </w:r>
            <w:r w:rsidRPr="00C44EE6">
              <w:rPr>
                <w:sz w:val="24"/>
                <w:szCs w:val="24"/>
                <w:lang w:val="ky-KG"/>
              </w:rPr>
              <w:t xml:space="preserve"> пайызга өскөн. </w:t>
            </w:r>
          </w:p>
        </w:tc>
        <w:tc>
          <w:tcPr>
            <w:tcW w:w="4820" w:type="dxa"/>
            <w:gridSpan w:val="4"/>
          </w:tcPr>
          <w:p w14:paraId="05D5561F" w14:textId="1C43A85D" w:rsidR="00656550" w:rsidRPr="00C44EE6" w:rsidRDefault="00656550" w:rsidP="00FF3C2B">
            <w:pPr>
              <w:jc w:val="both"/>
              <w:rPr>
                <w:i/>
                <w:sz w:val="24"/>
              </w:rPr>
            </w:pPr>
            <w:r w:rsidRPr="00C44EE6">
              <w:rPr>
                <w:i/>
                <w:sz w:val="24"/>
                <w:szCs w:val="24"/>
                <w:lang w:val="ky-KG"/>
              </w:rPr>
              <w:t xml:space="preserve">      </w:t>
            </w:r>
            <w:r w:rsidRPr="00C44EE6">
              <w:rPr>
                <w:i/>
                <w:sz w:val="24"/>
                <w:szCs w:val="24"/>
              </w:rPr>
              <w:t>Кредиторская задолженность</w:t>
            </w:r>
            <w:r w:rsidRPr="00C44EE6">
              <w:rPr>
                <w:b/>
                <w:i/>
                <w:sz w:val="24"/>
                <w:szCs w:val="24"/>
                <w:lang w:val="ky-KG"/>
              </w:rPr>
              <w:t xml:space="preserve"> </w:t>
            </w:r>
            <w:r w:rsidRPr="00C44EE6">
              <w:rPr>
                <w:i/>
                <w:sz w:val="24"/>
                <w:szCs w:val="24"/>
              </w:rPr>
              <w:t>предприятий и организаций</w:t>
            </w:r>
            <w:r w:rsidRPr="00C44EE6">
              <w:rPr>
                <w:i/>
                <w:sz w:val="24"/>
                <w:szCs w:val="24"/>
                <w:lang w:val="ky-KG"/>
              </w:rPr>
              <w:t xml:space="preserve"> </w:t>
            </w:r>
            <w:r w:rsidRPr="00C44EE6">
              <w:rPr>
                <w:i/>
                <w:sz w:val="24"/>
                <w:szCs w:val="24"/>
              </w:rPr>
              <w:t>на конец 20</w:t>
            </w:r>
            <w:r w:rsidRPr="00C44EE6">
              <w:rPr>
                <w:i/>
                <w:sz w:val="24"/>
                <w:szCs w:val="24"/>
                <w:lang w:val="ky-KG"/>
              </w:rPr>
              <w:t>2</w:t>
            </w:r>
            <w:r w:rsidR="00502446" w:rsidRPr="00C44EE6">
              <w:rPr>
                <w:i/>
                <w:sz w:val="24"/>
                <w:szCs w:val="24"/>
                <w:lang w:val="ky-KG"/>
              </w:rPr>
              <w:t>4</w:t>
            </w:r>
            <w:r w:rsidRPr="00C44EE6">
              <w:rPr>
                <w:i/>
                <w:sz w:val="24"/>
                <w:szCs w:val="24"/>
              </w:rPr>
              <w:t xml:space="preserve"> года определилась в размере </w:t>
            </w:r>
            <w:r w:rsidR="00502446" w:rsidRPr="00C44EE6">
              <w:rPr>
                <w:i/>
                <w:sz w:val="24"/>
                <w:szCs w:val="24"/>
                <w:lang w:val="ky-KG"/>
              </w:rPr>
              <w:t>40 895,0</w:t>
            </w:r>
            <w:r w:rsidRPr="00C44EE6">
              <w:rPr>
                <w:i/>
                <w:sz w:val="24"/>
                <w:szCs w:val="24"/>
              </w:rPr>
              <w:t xml:space="preserve"> млн. сомов, у</w:t>
            </w:r>
            <w:r w:rsidRPr="00C44EE6">
              <w:rPr>
                <w:i/>
                <w:sz w:val="24"/>
                <w:szCs w:val="24"/>
                <w:lang w:val="ky-KG"/>
              </w:rPr>
              <w:t>величилась</w:t>
            </w:r>
            <w:r w:rsidRPr="00C44EE6">
              <w:rPr>
                <w:i/>
                <w:sz w:val="24"/>
                <w:szCs w:val="24"/>
              </w:rPr>
              <w:t xml:space="preserve"> по сравнению с объемом 20</w:t>
            </w:r>
            <w:r w:rsidRPr="00C44EE6">
              <w:rPr>
                <w:i/>
                <w:sz w:val="24"/>
                <w:szCs w:val="24"/>
                <w:lang w:val="ky-KG"/>
              </w:rPr>
              <w:t>2</w:t>
            </w:r>
            <w:r w:rsidR="00502446" w:rsidRPr="00C44EE6">
              <w:rPr>
                <w:i/>
                <w:sz w:val="24"/>
                <w:szCs w:val="24"/>
                <w:lang w:val="ky-KG"/>
              </w:rPr>
              <w:t>3</w:t>
            </w:r>
            <w:r w:rsidRPr="00C44EE6">
              <w:rPr>
                <w:i/>
                <w:sz w:val="24"/>
                <w:szCs w:val="24"/>
              </w:rPr>
              <w:t xml:space="preserve">г. на </w:t>
            </w:r>
            <w:r w:rsidR="00502446" w:rsidRPr="00C44EE6">
              <w:rPr>
                <w:i/>
                <w:sz w:val="24"/>
                <w:szCs w:val="24"/>
                <w:lang w:val="ky-KG"/>
              </w:rPr>
              <w:t>7 381,2</w:t>
            </w:r>
            <w:r w:rsidRPr="00C44EE6">
              <w:rPr>
                <w:i/>
                <w:sz w:val="24"/>
                <w:szCs w:val="24"/>
              </w:rPr>
              <w:t xml:space="preserve"> млн. сомов, а по сравнению с объемом 20</w:t>
            </w:r>
            <w:r w:rsidR="00502446" w:rsidRPr="00C44EE6">
              <w:rPr>
                <w:i/>
                <w:sz w:val="24"/>
                <w:szCs w:val="24"/>
                <w:lang w:val="ky-KG"/>
              </w:rPr>
              <w:t>20</w:t>
            </w:r>
            <w:r w:rsidRPr="00C44EE6">
              <w:rPr>
                <w:i/>
                <w:sz w:val="24"/>
                <w:szCs w:val="24"/>
              </w:rPr>
              <w:t xml:space="preserve">г. на </w:t>
            </w:r>
            <w:r w:rsidR="00502446" w:rsidRPr="00C44EE6">
              <w:rPr>
                <w:i/>
                <w:sz w:val="24"/>
                <w:szCs w:val="24"/>
                <w:lang w:val="ky-KG"/>
              </w:rPr>
              <w:t>72,5</w:t>
            </w:r>
            <w:r w:rsidRPr="00C44EE6">
              <w:rPr>
                <w:i/>
                <w:sz w:val="24"/>
                <w:szCs w:val="24"/>
                <w:lang w:val="ky-KG"/>
              </w:rPr>
              <w:t xml:space="preserve"> процента</w:t>
            </w:r>
            <w:r w:rsidRPr="00C44EE6">
              <w:rPr>
                <w:i/>
                <w:sz w:val="24"/>
                <w:szCs w:val="24"/>
              </w:rPr>
              <w:t xml:space="preserve"> больше. </w:t>
            </w:r>
          </w:p>
        </w:tc>
      </w:tr>
      <w:tr w:rsidR="00C44EE6" w:rsidRPr="00C44EE6" w14:paraId="02D939B8" w14:textId="77777777" w:rsidTr="003722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4" w:type="dxa"/>
        </w:trPr>
        <w:tc>
          <w:tcPr>
            <w:tcW w:w="4819" w:type="dxa"/>
            <w:gridSpan w:val="4"/>
          </w:tcPr>
          <w:p w14:paraId="40FDB3EC" w14:textId="0E834BBF" w:rsidR="00656550" w:rsidRPr="00C44EE6" w:rsidRDefault="00656550" w:rsidP="00FF3C2B">
            <w:pPr>
              <w:pStyle w:val="a8"/>
              <w:ind w:left="34"/>
              <w:jc w:val="both"/>
              <w:rPr>
                <w:sz w:val="24"/>
                <w:lang w:val="ky-KG"/>
              </w:rPr>
            </w:pPr>
            <w:r w:rsidRPr="00C44EE6">
              <w:rPr>
                <w:sz w:val="24"/>
                <w:lang w:val="ky-KG"/>
              </w:rPr>
              <w:t xml:space="preserve">      202</w:t>
            </w:r>
            <w:r w:rsidR="009E6DF3" w:rsidRPr="00C44EE6">
              <w:rPr>
                <w:sz w:val="24"/>
                <w:lang w:val="ky-KG"/>
              </w:rPr>
              <w:t>4</w:t>
            </w:r>
            <w:r w:rsidRPr="00C44EE6">
              <w:rPr>
                <w:sz w:val="24"/>
                <w:lang w:val="ky-KG"/>
              </w:rPr>
              <w:t xml:space="preserve">-жылдын кредитордук карыздардын негизги бөлүгү өткөн жылга салыштырмалуу пайдалуу кендерди казуу тармагында иштегендерге тиешелүү болуп </w:t>
            </w:r>
            <w:r w:rsidR="009E6DF3" w:rsidRPr="00C44EE6">
              <w:rPr>
                <w:sz w:val="24"/>
                <w:lang w:val="ky-KG"/>
              </w:rPr>
              <w:t xml:space="preserve">8,8 </w:t>
            </w:r>
            <w:r w:rsidRPr="00C44EE6">
              <w:rPr>
                <w:sz w:val="24"/>
                <w:lang w:val="ky-KG"/>
              </w:rPr>
              <w:t xml:space="preserve"> пайызга </w:t>
            </w:r>
            <w:r w:rsidR="009E6DF3" w:rsidRPr="00C44EE6">
              <w:rPr>
                <w:sz w:val="24"/>
                <w:lang w:val="ky-KG"/>
              </w:rPr>
              <w:t>аз</w:t>
            </w:r>
            <w:r w:rsidRPr="00C44EE6">
              <w:rPr>
                <w:sz w:val="24"/>
                <w:lang w:val="ky-KG"/>
              </w:rPr>
              <w:t xml:space="preserve">,  курулуш тармагында – </w:t>
            </w:r>
            <w:r w:rsidR="009E6DF3" w:rsidRPr="00C44EE6">
              <w:rPr>
                <w:sz w:val="24"/>
                <w:lang w:val="ky-KG"/>
              </w:rPr>
              <w:t>5,0</w:t>
            </w:r>
            <w:r w:rsidRPr="00C44EE6">
              <w:rPr>
                <w:sz w:val="24"/>
                <w:lang w:val="ky-KG"/>
              </w:rPr>
              <w:t xml:space="preserve"> </w:t>
            </w:r>
            <w:r w:rsidR="009E6DF3" w:rsidRPr="00C44EE6">
              <w:rPr>
                <w:sz w:val="24"/>
                <w:lang w:val="ky-KG"/>
              </w:rPr>
              <w:t>эсеге</w:t>
            </w:r>
            <w:r w:rsidRPr="00C44EE6">
              <w:rPr>
                <w:sz w:val="24"/>
                <w:lang w:val="ky-KG"/>
              </w:rPr>
              <w:t xml:space="preserve">  өсүш болгон.</w:t>
            </w:r>
          </w:p>
        </w:tc>
        <w:tc>
          <w:tcPr>
            <w:tcW w:w="4820" w:type="dxa"/>
            <w:gridSpan w:val="4"/>
          </w:tcPr>
          <w:p w14:paraId="5FEC2F23" w14:textId="5F955D4A" w:rsidR="00656550" w:rsidRPr="00C44EE6" w:rsidRDefault="00656550" w:rsidP="00FF3C2B">
            <w:pPr>
              <w:jc w:val="both"/>
              <w:rPr>
                <w:i/>
                <w:sz w:val="24"/>
              </w:rPr>
            </w:pPr>
            <w:r w:rsidRPr="00C44EE6">
              <w:rPr>
                <w:i/>
                <w:sz w:val="24"/>
                <w:szCs w:val="24"/>
                <w:lang w:val="ky-KG"/>
              </w:rPr>
              <w:t xml:space="preserve">      </w:t>
            </w:r>
            <w:r w:rsidRPr="00C44EE6">
              <w:rPr>
                <w:i/>
                <w:sz w:val="24"/>
                <w:szCs w:val="24"/>
              </w:rPr>
              <w:t>В основном, рост долгов за 20</w:t>
            </w:r>
            <w:r w:rsidRPr="00C44EE6">
              <w:rPr>
                <w:i/>
                <w:sz w:val="24"/>
                <w:szCs w:val="24"/>
                <w:lang w:val="ky-KG"/>
              </w:rPr>
              <w:t>2</w:t>
            </w:r>
            <w:r w:rsidR="00CA2A90" w:rsidRPr="00C44EE6">
              <w:rPr>
                <w:i/>
                <w:sz w:val="24"/>
                <w:szCs w:val="24"/>
                <w:lang w:val="ky-KG"/>
              </w:rPr>
              <w:t>4</w:t>
            </w:r>
            <w:r w:rsidRPr="00C44EE6">
              <w:rPr>
                <w:i/>
                <w:sz w:val="24"/>
                <w:szCs w:val="24"/>
                <w:lang w:val="ky-KG"/>
              </w:rPr>
              <w:t xml:space="preserve"> </w:t>
            </w:r>
            <w:r w:rsidRPr="00C44EE6">
              <w:rPr>
                <w:i/>
                <w:sz w:val="24"/>
                <w:szCs w:val="24"/>
              </w:rPr>
              <w:t>год по сравнению с 20</w:t>
            </w:r>
            <w:r w:rsidRPr="00C44EE6">
              <w:rPr>
                <w:i/>
                <w:sz w:val="24"/>
                <w:szCs w:val="24"/>
                <w:lang w:val="ky-KG"/>
              </w:rPr>
              <w:t>2</w:t>
            </w:r>
            <w:r w:rsidR="00CA2A90" w:rsidRPr="00C44EE6">
              <w:rPr>
                <w:i/>
                <w:sz w:val="24"/>
                <w:szCs w:val="24"/>
                <w:lang w:val="ky-KG"/>
              </w:rPr>
              <w:t>3</w:t>
            </w:r>
            <w:r w:rsidRPr="00C44EE6">
              <w:rPr>
                <w:i/>
                <w:sz w:val="24"/>
                <w:szCs w:val="24"/>
              </w:rPr>
              <w:t xml:space="preserve">г. отмечался на предприятиях по </w:t>
            </w:r>
            <w:r w:rsidRPr="00C44EE6">
              <w:rPr>
                <w:i/>
                <w:sz w:val="24"/>
                <w:szCs w:val="24"/>
                <w:lang w:val="ky-KG"/>
              </w:rPr>
              <w:t xml:space="preserve">добыче полезных ископаемых на </w:t>
            </w:r>
            <w:r w:rsidR="00CA2A90" w:rsidRPr="00C44EE6">
              <w:rPr>
                <w:i/>
                <w:sz w:val="24"/>
                <w:szCs w:val="24"/>
                <w:lang w:val="ky-KG"/>
              </w:rPr>
              <w:t>8,8</w:t>
            </w:r>
            <w:r w:rsidRPr="00C44EE6">
              <w:rPr>
                <w:i/>
                <w:sz w:val="24"/>
                <w:szCs w:val="24"/>
                <w:lang w:val="ky-KG"/>
              </w:rPr>
              <w:t xml:space="preserve"> процента </w:t>
            </w:r>
            <w:r w:rsidR="00CA2A90" w:rsidRPr="00C44EE6">
              <w:rPr>
                <w:i/>
                <w:sz w:val="24"/>
                <w:szCs w:val="24"/>
                <w:lang w:val="ky-KG"/>
              </w:rPr>
              <w:t>меньше</w:t>
            </w:r>
            <w:r w:rsidRPr="00C44EE6">
              <w:rPr>
                <w:i/>
                <w:sz w:val="24"/>
                <w:szCs w:val="24"/>
                <w:lang w:val="ky-KG"/>
              </w:rPr>
              <w:t xml:space="preserve">, строительства </w:t>
            </w:r>
            <w:proofErr w:type="gramStart"/>
            <w:r w:rsidRPr="00C44EE6">
              <w:rPr>
                <w:i/>
                <w:sz w:val="24"/>
                <w:szCs w:val="24"/>
                <w:lang w:val="ky-KG"/>
              </w:rPr>
              <w:t>-  на</w:t>
            </w:r>
            <w:proofErr w:type="gramEnd"/>
            <w:r w:rsidRPr="00C44EE6">
              <w:rPr>
                <w:i/>
                <w:sz w:val="24"/>
                <w:szCs w:val="24"/>
                <w:lang w:val="ky-KG"/>
              </w:rPr>
              <w:t xml:space="preserve"> </w:t>
            </w:r>
            <w:r w:rsidR="00CA2A90" w:rsidRPr="00C44EE6">
              <w:rPr>
                <w:i/>
                <w:sz w:val="24"/>
                <w:szCs w:val="24"/>
                <w:lang w:val="ky-KG"/>
              </w:rPr>
              <w:t>5,0</w:t>
            </w:r>
            <w:r w:rsidRPr="00C44EE6">
              <w:rPr>
                <w:i/>
                <w:sz w:val="24"/>
                <w:szCs w:val="24"/>
                <w:lang w:val="ky-KG"/>
              </w:rPr>
              <w:t xml:space="preserve"> </w:t>
            </w:r>
            <w:r w:rsidR="00CA2A90" w:rsidRPr="00C44EE6">
              <w:rPr>
                <w:i/>
                <w:sz w:val="24"/>
                <w:szCs w:val="24"/>
                <w:lang w:val="ky-KG"/>
              </w:rPr>
              <w:t>раза</w:t>
            </w:r>
            <w:r w:rsidRPr="00C44EE6">
              <w:rPr>
                <w:i/>
                <w:sz w:val="24"/>
                <w:szCs w:val="24"/>
                <w:lang w:val="ky-KG"/>
              </w:rPr>
              <w:t xml:space="preserve"> больше.</w:t>
            </w:r>
          </w:p>
        </w:tc>
      </w:tr>
      <w:tr w:rsidR="00C44EE6" w:rsidRPr="00C44EE6" w14:paraId="0BD352B4" w14:textId="77777777" w:rsidTr="003722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34" w:type="dxa"/>
        </w:trPr>
        <w:tc>
          <w:tcPr>
            <w:tcW w:w="4819" w:type="dxa"/>
            <w:gridSpan w:val="4"/>
          </w:tcPr>
          <w:p w14:paraId="6287FFD0" w14:textId="260BACAE" w:rsidR="00656550" w:rsidRPr="00C44EE6" w:rsidRDefault="00656550" w:rsidP="00FF3C2B">
            <w:pPr>
              <w:pStyle w:val="a8"/>
              <w:spacing w:after="0"/>
              <w:ind w:left="0"/>
              <w:jc w:val="both"/>
              <w:rPr>
                <w:sz w:val="24"/>
                <w:lang w:val="ky-KG"/>
              </w:rPr>
            </w:pPr>
            <w:r w:rsidRPr="00C44EE6">
              <w:rPr>
                <w:sz w:val="24"/>
                <w:lang w:val="ky-KG"/>
              </w:rPr>
              <w:t xml:space="preserve">      202</w:t>
            </w:r>
            <w:r w:rsidR="00CA2A90" w:rsidRPr="00C44EE6">
              <w:rPr>
                <w:sz w:val="24"/>
                <w:lang w:val="ky-KG"/>
              </w:rPr>
              <w:t>4</w:t>
            </w:r>
            <w:r w:rsidRPr="00C44EE6">
              <w:rPr>
                <w:sz w:val="24"/>
                <w:lang w:val="ky-KG"/>
              </w:rPr>
              <w:t xml:space="preserve">-жылы аймактык тармагында дебитордук карыздардын ичинен негизги үлүштү Чаткал району  </w:t>
            </w:r>
            <w:r w:rsidR="00CA2A90" w:rsidRPr="00C44EE6">
              <w:rPr>
                <w:sz w:val="24"/>
                <w:lang w:val="ky-KG"/>
              </w:rPr>
              <w:t>9 006,4</w:t>
            </w:r>
            <w:r w:rsidRPr="00C44EE6">
              <w:rPr>
                <w:sz w:val="24"/>
                <w:lang w:val="ky-KG"/>
              </w:rPr>
              <w:t xml:space="preserve"> млн. сомду, Ноокен районунун ишканалары </w:t>
            </w:r>
            <w:r w:rsidR="00CA2A90" w:rsidRPr="00C44EE6">
              <w:rPr>
                <w:sz w:val="24"/>
                <w:lang w:val="ky-KG"/>
              </w:rPr>
              <w:t>2 414,2</w:t>
            </w:r>
            <w:r w:rsidRPr="00C44EE6">
              <w:rPr>
                <w:sz w:val="24"/>
                <w:lang w:val="ky-KG"/>
              </w:rPr>
              <w:t xml:space="preserve"> млн. сомду жана Ала-Бука району </w:t>
            </w:r>
            <w:r w:rsidR="00CA2A90" w:rsidRPr="00C44EE6">
              <w:rPr>
                <w:sz w:val="24"/>
                <w:lang w:val="ky-KG"/>
              </w:rPr>
              <w:t>5 675,9</w:t>
            </w:r>
            <w:r w:rsidRPr="00C44EE6">
              <w:rPr>
                <w:sz w:val="24"/>
                <w:lang w:val="ky-KG"/>
              </w:rPr>
              <w:t xml:space="preserve"> млн. сомду түзгөн, ал эми кредитордук карыздардын ичинен да 11</w:t>
            </w:r>
            <w:r w:rsidR="00CA2A90" w:rsidRPr="00C44EE6">
              <w:rPr>
                <w:sz w:val="24"/>
                <w:lang w:val="ky-KG"/>
              </w:rPr>
              <w:t> 148,0</w:t>
            </w:r>
            <w:r w:rsidRPr="00C44EE6">
              <w:rPr>
                <w:sz w:val="24"/>
                <w:lang w:val="ky-KG"/>
              </w:rPr>
              <w:t xml:space="preserve"> млн. сомун Ноокен районунун ишканалары,  </w:t>
            </w:r>
            <w:r w:rsidR="00CA2A90" w:rsidRPr="00C44EE6">
              <w:rPr>
                <w:sz w:val="24"/>
                <w:lang w:val="ky-KG"/>
              </w:rPr>
              <w:t>6 918,2</w:t>
            </w:r>
            <w:r w:rsidRPr="00C44EE6">
              <w:rPr>
                <w:sz w:val="24"/>
                <w:lang w:val="ky-KG"/>
              </w:rPr>
              <w:t xml:space="preserve"> млн. сомун Ала-Бука районунун ишканалары, </w:t>
            </w:r>
            <w:r w:rsidR="00CA2A90" w:rsidRPr="00C44EE6">
              <w:rPr>
                <w:sz w:val="24"/>
                <w:lang w:val="ky-KG"/>
              </w:rPr>
              <w:t>4 920,4</w:t>
            </w:r>
            <w:r w:rsidRPr="00C44EE6">
              <w:rPr>
                <w:sz w:val="24"/>
                <w:lang w:val="ky-KG"/>
              </w:rPr>
              <w:t xml:space="preserve"> млн. сомун Чаткал районунун ишканалары түзөт.</w:t>
            </w:r>
          </w:p>
        </w:tc>
        <w:tc>
          <w:tcPr>
            <w:tcW w:w="4820" w:type="dxa"/>
            <w:gridSpan w:val="4"/>
          </w:tcPr>
          <w:p w14:paraId="166DC2B5" w14:textId="602AA044" w:rsidR="00656550" w:rsidRPr="00C44EE6" w:rsidRDefault="00656550" w:rsidP="00FF3C2B">
            <w:pPr>
              <w:pStyle w:val="a8"/>
              <w:spacing w:after="0"/>
              <w:ind w:left="0"/>
              <w:jc w:val="both"/>
              <w:rPr>
                <w:i/>
                <w:sz w:val="24"/>
                <w:lang w:val="ky-KG"/>
              </w:rPr>
            </w:pPr>
            <w:r w:rsidRPr="00C44EE6">
              <w:rPr>
                <w:i/>
                <w:sz w:val="24"/>
                <w:lang w:val="ky-KG"/>
              </w:rPr>
              <w:t xml:space="preserve">      </w:t>
            </w:r>
            <w:r w:rsidRPr="00C44EE6">
              <w:rPr>
                <w:i/>
                <w:sz w:val="24"/>
              </w:rPr>
              <w:t>В территориальном разрезе основная доля дебиторской задолженности в 20</w:t>
            </w:r>
            <w:r w:rsidRPr="00C44EE6">
              <w:rPr>
                <w:i/>
                <w:sz w:val="24"/>
                <w:lang w:val="ky-KG"/>
              </w:rPr>
              <w:t>2</w:t>
            </w:r>
            <w:r w:rsidR="00CA2A90" w:rsidRPr="00C44EE6">
              <w:rPr>
                <w:i/>
                <w:sz w:val="24"/>
                <w:lang w:val="ky-KG"/>
              </w:rPr>
              <w:t>4</w:t>
            </w:r>
            <w:r w:rsidRPr="00C44EE6">
              <w:rPr>
                <w:i/>
                <w:sz w:val="24"/>
              </w:rPr>
              <w:t xml:space="preserve"> году приходилась на долги предприятий </w:t>
            </w:r>
            <w:r w:rsidRPr="00C44EE6">
              <w:rPr>
                <w:i/>
                <w:sz w:val="24"/>
                <w:lang w:val="ky-KG"/>
              </w:rPr>
              <w:t>Чаткаль</w:t>
            </w:r>
            <w:proofErr w:type="spellStart"/>
            <w:r w:rsidRPr="00C44EE6">
              <w:rPr>
                <w:i/>
                <w:sz w:val="24"/>
              </w:rPr>
              <w:t>ского</w:t>
            </w:r>
            <w:proofErr w:type="spellEnd"/>
            <w:r w:rsidRPr="00C44EE6">
              <w:rPr>
                <w:i/>
                <w:sz w:val="24"/>
              </w:rPr>
              <w:t xml:space="preserve"> района </w:t>
            </w:r>
            <w:r w:rsidR="00CA2A90" w:rsidRPr="00C44EE6">
              <w:rPr>
                <w:i/>
                <w:sz w:val="24"/>
                <w:lang w:val="ky-KG"/>
              </w:rPr>
              <w:t>9 006,4</w:t>
            </w:r>
            <w:r w:rsidRPr="00C44EE6">
              <w:rPr>
                <w:i/>
                <w:sz w:val="24"/>
              </w:rPr>
              <w:t xml:space="preserve"> млн. сомов</w:t>
            </w:r>
            <w:r w:rsidRPr="00C44EE6">
              <w:rPr>
                <w:i/>
                <w:sz w:val="24"/>
                <w:lang w:val="ky-KG"/>
              </w:rPr>
              <w:t>, Ноокен</w:t>
            </w:r>
            <w:proofErr w:type="spellStart"/>
            <w:r w:rsidRPr="00C44EE6">
              <w:rPr>
                <w:i/>
                <w:sz w:val="24"/>
              </w:rPr>
              <w:t>ского</w:t>
            </w:r>
            <w:proofErr w:type="spellEnd"/>
            <w:r w:rsidRPr="00C44EE6">
              <w:rPr>
                <w:i/>
                <w:sz w:val="24"/>
              </w:rPr>
              <w:t xml:space="preserve"> района </w:t>
            </w:r>
            <w:r w:rsidR="00CA2A90" w:rsidRPr="00C44EE6">
              <w:rPr>
                <w:i/>
                <w:sz w:val="24"/>
              </w:rPr>
              <w:t>–</w:t>
            </w:r>
            <w:r w:rsidRPr="00C44EE6">
              <w:rPr>
                <w:i/>
                <w:sz w:val="24"/>
              </w:rPr>
              <w:t xml:space="preserve"> </w:t>
            </w:r>
            <w:r w:rsidR="00CA2A90" w:rsidRPr="00C44EE6">
              <w:rPr>
                <w:i/>
                <w:sz w:val="24"/>
                <w:lang w:val="ky-KG"/>
              </w:rPr>
              <w:t>2 414,2</w:t>
            </w:r>
            <w:r w:rsidRPr="00C44EE6">
              <w:rPr>
                <w:i/>
                <w:sz w:val="24"/>
              </w:rPr>
              <w:t xml:space="preserve"> млн. сомов</w:t>
            </w:r>
            <w:r w:rsidRPr="00C44EE6">
              <w:rPr>
                <w:i/>
                <w:sz w:val="24"/>
                <w:lang w:val="ky-KG"/>
              </w:rPr>
              <w:t xml:space="preserve"> и Ала-Букинского района </w:t>
            </w:r>
            <w:r w:rsidR="00CA2A90" w:rsidRPr="00C44EE6">
              <w:rPr>
                <w:i/>
                <w:sz w:val="24"/>
                <w:lang w:val="ky-KG"/>
              </w:rPr>
              <w:t>–</w:t>
            </w:r>
            <w:r w:rsidRPr="00C44EE6">
              <w:rPr>
                <w:i/>
                <w:sz w:val="24"/>
                <w:lang w:val="ky-KG"/>
              </w:rPr>
              <w:t xml:space="preserve"> </w:t>
            </w:r>
            <w:r w:rsidR="00CA2A90" w:rsidRPr="00C44EE6">
              <w:rPr>
                <w:i/>
                <w:sz w:val="24"/>
                <w:lang w:val="ky-KG"/>
              </w:rPr>
              <w:t>5 675,9</w:t>
            </w:r>
            <w:r w:rsidRPr="00C44EE6">
              <w:rPr>
                <w:i/>
                <w:sz w:val="24"/>
                <w:lang w:val="ky-KG"/>
              </w:rPr>
              <w:t xml:space="preserve"> млн. сомов</w:t>
            </w:r>
            <w:r w:rsidRPr="00C44EE6">
              <w:rPr>
                <w:i/>
                <w:sz w:val="24"/>
              </w:rPr>
              <w:t xml:space="preserve">, а кредиторской задолженности по </w:t>
            </w:r>
            <w:r w:rsidRPr="00C44EE6">
              <w:rPr>
                <w:i/>
                <w:sz w:val="24"/>
                <w:lang w:val="ky-KG"/>
              </w:rPr>
              <w:t>Ноокен</w:t>
            </w:r>
            <w:proofErr w:type="spellStart"/>
            <w:r w:rsidRPr="00C44EE6">
              <w:rPr>
                <w:i/>
                <w:sz w:val="24"/>
              </w:rPr>
              <w:t>скому</w:t>
            </w:r>
            <w:proofErr w:type="spellEnd"/>
            <w:r w:rsidRPr="00C44EE6">
              <w:rPr>
                <w:i/>
                <w:sz w:val="24"/>
              </w:rPr>
              <w:t xml:space="preserve"> району </w:t>
            </w:r>
            <w:r w:rsidRPr="00C44EE6">
              <w:rPr>
                <w:i/>
                <w:sz w:val="24"/>
                <w:lang w:val="ky-KG"/>
              </w:rPr>
              <w:t>11</w:t>
            </w:r>
            <w:r w:rsidR="00CA2A90" w:rsidRPr="00C44EE6">
              <w:rPr>
                <w:i/>
                <w:sz w:val="24"/>
                <w:lang w:val="ky-KG"/>
              </w:rPr>
              <w:t> 148,0</w:t>
            </w:r>
            <w:r w:rsidRPr="00C44EE6">
              <w:rPr>
                <w:i/>
                <w:sz w:val="24"/>
              </w:rPr>
              <w:t xml:space="preserve"> млн. сомов</w:t>
            </w:r>
            <w:r w:rsidRPr="00C44EE6">
              <w:rPr>
                <w:i/>
                <w:sz w:val="24"/>
                <w:lang w:val="ky-KG"/>
              </w:rPr>
              <w:t xml:space="preserve">, Ала-Букинскому району </w:t>
            </w:r>
            <w:r w:rsidR="00CA2A90" w:rsidRPr="00C44EE6">
              <w:rPr>
                <w:i/>
                <w:sz w:val="24"/>
                <w:lang w:val="ky-KG"/>
              </w:rPr>
              <w:t>–</w:t>
            </w:r>
            <w:r w:rsidRPr="00C44EE6">
              <w:rPr>
                <w:i/>
                <w:sz w:val="24"/>
                <w:lang w:val="ky-KG"/>
              </w:rPr>
              <w:t xml:space="preserve"> </w:t>
            </w:r>
            <w:r w:rsidR="00CA2A90" w:rsidRPr="00C44EE6">
              <w:rPr>
                <w:i/>
                <w:sz w:val="24"/>
                <w:lang w:val="ky-KG"/>
              </w:rPr>
              <w:t>6 918,2</w:t>
            </w:r>
            <w:r w:rsidRPr="00C44EE6">
              <w:rPr>
                <w:i/>
                <w:sz w:val="24"/>
                <w:lang w:val="ky-KG"/>
              </w:rPr>
              <w:t xml:space="preserve"> млн. сомов и Чаткальскому району </w:t>
            </w:r>
            <w:r w:rsidR="00CA2A90" w:rsidRPr="00C44EE6">
              <w:rPr>
                <w:i/>
                <w:sz w:val="24"/>
                <w:lang w:val="ky-KG"/>
              </w:rPr>
              <w:t>4 920,4</w:t>
            </w:r>
            <w:r w:rsidRPr="00C44EE6">
              <w:rPr>
                <w:i/>
                <w:sz w:val="24"/>
                <w:lang w:val="ky-KG"/>
              </w:rPr>
              <w:t xml:space="preserve"> млн. сомов</w:t>
            </w:r>
            <w:r w:rsidRPr="00C44EE6">
              <w:rPr>
                <w:i/>
                <w:sz w:val="24"/>
              </w:rPr>
              <w:t>.</w:t>
            </w:r>
          </w:p>
        </w:tc>
      </w:tr>
    </w:tbl>
    <w:p w14:paraId="451878AA" w14:textId="77777777" w:rsidR="00656550" w:rsidRDefault="00656550" w:rsidP="00656550"/>
    <w:p w14:paraId="32A16786" w14:textId="77777777" w:rsidR="004B45A6" w:rsidRDefault="004B45A6" w:rsidP="004B45A6"/>
    <w:tbl>
      <w:tblPr>
        <w:tblW w:w="9639" w:type="dxa"/>
        <w:tblInd w:w="142" w:type="dxa"/>
        <w:tblLook w:val="04A0" w:firstRow="1" w:lastRow="0" w:firstColumn="1" w:lastColumn="0" w:noHBand="0" w:noVBand="1"/>
      </w:tblPr>
      <w:tblGrid>
        <w:gridCol w:w="4785"/>
        <w:gridCol w:w="4854"/>
      </w:tblGrid>
      <w:tr w:rsidR="00FB029B" w:rsidRPr="000C72A7" w14:paraId="1B093154" w14:textId="77777777" w:rsidTr="00372228">
        <w:tc>
          <w:tcPr>
            <w:tcW w:w="4785" w:type="dxa"/>
          </w:tcPr>
          <w:p w14:paraId="750D5DB6" w14:textId="77777777" w:rsidR="00FB029B" w:rsidRPr="001A00E5" w:rsidRDefault="00FB029B" w:rsidP="00FB029B">
            <w:pPr>
              <w:pStyle w:val="2"/>
              <w:jc w:val="left"/>
              <w:rPr>
                <w:color w:val="000000" w:themeColor="text1"/>
                <w:sz w:val="24"/>
              </w:rPr>
            </w:pPr>
            <w:proofErr w:type="spellStart"/>
            <w:r w:rsidRPr="001A00E5">
              <w:rPr>
                <w:color w:val="000000" w:themeColor="text1"/>
              </w:rPr>
              <w:t>Мамлекеттик</w:t>
            </w:r>
            <w:proofErr w:type="spellEnd"/>
            <w:r w:rsidRPr="001A00E5">
              <w:rPr>
                <w:color w:val="000000" w:themeColor="text1"/>
              </w:rPr>
              <w:t xml:space="preserve"> сектор</w:t>
            </w:r>
          </w:p>
        </w:tc>
        <w:tc>
          <w:tcPr>
            <w:tcW w:w="4854" w:type="dxa"/>
          </w:tcPr>
          <w:p w14:paraId="1CD10DC0" w14:textId="77777777" w:rsidR="00FB029B" w:rsidRPr="00CE232F" w:rsidRDefault="00FB029B" w:rsidP="00FB029B">
            <w:pPr>
              <w:pStyle w:val="2"/>
              <w:jc w:val="left"/>
              <w:rPr>
                <w:i/>
                <w:sz w:val="24"/>
              </w:rPr>
            </w:pPr>
            <w:r w:rsidRPr="00CE232F">
              <w:rPr>
                <w:i/>
              </w:rPr>
              <w:t>Государственный сектор</w:t>
            </w:r>
          </w:p>
        </w:tc>
      </w:tr>
      <w:tr w:rsidR="00CD09DA" w:rsidRPr="00947ABD" w14:paraId="02D2C44E" w14:textId="77777777" w:rsidTr="00CE232F">
        <w:trPr>
          <w:trHeight w:val="1900"/>
        </w:trPr>
        <w:tc>
          <w:tcPr>
            <w:tcW w:w="4785" w:type="dxa"/>
          </w:tcPr>
          <w:p w14:paraId="4AB62E4B" w14:textId="5B952A25" w:rsidR="00CD09DA" w:rsidRPr="001A00E5" w:rsidRDefault="00CD09DA" w:rsidP="00CD09DA">
            <w:pPr>
              <w:jc w:val="both"/>
              <w:rPr>
                <w:color w:val="000000" w:themeColor="text1"/>
                <w:sz w:val="24"/>
                <w:lang w:val="ky-KG"/>
              </w:rPr>
            </w:pPr>
            <w:r w:rsidRPr="001A00E5">
              <w:rPr>
                <w:color w:val="000000" w:themeColor="text1"/>
                <w:sz w:val="24"/>
                <w:lang w:val="ky-KG"/>
              </w:rPr>
              <w:t xml:space="preserve">     20</w:t>
            </w:r>
            <w:r w:rsidR="00F50A92" w:rsidRPr="001A00E5">
              <w:rPr>
                <w:color w:val="000000" w:themeColor="text1"/>
                <w:sz w:val="24"/>
                <w:lang w:val="ky-KG"/>
              </w:rPr>
              <w:t>20</w:t>
            </w:r>
            <w:r w:rsidRPr="001A00E5">
              <w:rPr>
                <w:color w:val="000000" w:themeColor="text1"/>
                <w:sz w:val="24"/>
                <w:lang w:val="ky-KG"/>
              </w:rPr>
              <w:t>-202</w:t>
            </w:r>
            <w:r w:rsidR="00F50A92" w:rsidRPr="001A00E5">
              <w:rPr>
                <w:color w:val="000000" w:themeColor="text1"/>
                <w:sz w:val="24"/>
                <w:lang w:val="ky-KG"/>
              </w:rPr>
              <w:t>4</w:t>
            </w:r>
            <w:r w:rsidRPr="001A00E5">
              <w:rPr>
                <w:color w:val="000000" w:themeColor="text1"/>
                <w:sz w:val="24"/>
                <w:lang w:val="ky-KG"/>
              </w:rPr>
              <w:t xml:space="preserve">-жылдары жергиликтүү бюджеттин бардык кирешелери </w:t>
            </w:r>
            <w:r w:rsidR="00AD0411" w:rsidRPr="001A00E5">
              <w:rPr>
                <w:color w:val="000000" w:themeColor="text1"/>
                <w:sz w:val="24"/>
                <w:lang w:val="ky-KG"/>
              </w:rPr>
              <w:t>2</w:t>
            </w:r>
            <w:r w:rsidR="00EB5EFD">
              <w:rPr>
                <w:color w:val="000000" w:themeColor="text1"/>
                <w:sz w:val="24"/>
                <w:lang w:val="ky-KG"/>
              </w:rPr>
              <w:t xml:space="preserve"> </w:t>
            </w:r>
            <w:r w:rsidR="00AD0411" w:rsidRPr="001A00E5">
              <w:rPr>
                <w:color w:val="000000" w:themeColor="text1"/>
                <w:sz w:val="24"/>
                <w:lang w:val="ky-KG"/>
              </w:rPr>
              <w:t>575,4</w:t>
            </w:r>
            <w:r w:rsidRPr="001A00E5">
              <w:rPr>
                <w:color w:val="000000" w:themeColor="text1"/>
                <w:sz w:val="24"/>
                <w:lang w:val="ky-KG"/>
              </w:rPr>
              <w:t xml:space="preserve"> млн. сомдон </w:t>
            </w:r>
            <w:r w:rsidR="00AD0411" w:rsidRPr="001A00E5">
              <w:rPr>
                <w:color w:val="000000" w:themeColor="text1"/>
                <w:sz w:val="24"/>
                <w:lang w:val="ky-KG"/>
              </w:rPr>
              <w:t>7</w:t>
            </w:r>
            <w:r w:rsidR="00EB5EFD">
              <w:rPr>
                <w:color w:val="000000" w:themeColor="text1"/>
                <w:sz w:val="24"/>
                <w:lang w:val="ky-KG"/>
              </w:rPr>
              <w:t xml:space="preserve"> </w:t>
            </w:r>
            <w:r w:rsidR="00AD0411" w:rsidRPr="001A00E5">
              <w:rPr>
                <w:color w:val="000000" w:themeColor="text1"/>
                <w:sz w:val="24"/>
                <w:lang w:val="ky-KG"/>
              </w:rPr>
              <w:t>547,6</w:t>
            </w:r>
            <w:r w:rsidRPr="001A00E5">
              <w:rPr>
                <w:color w:val="000000" w:themeColor="text1"/>
                <w:sz w:val="24"/>
                <w:lang w:val="ky-KG"/>
              </w:rPr>
              <w:t xml:space="preserve"> млн. сомго чейин өскөн (финансылык эмес активдерди сатууну кошкондо)   2,</w:t>
            </w:r>
            <w:r w:rsidR="00AD0411" w:rsidRPr="001A00E5">
              <w:rPr>
                <w:color w:val="000000" w:themeColor="text1"/>
                <w:sz w:val="24"/>
                <w:lang w:val="ky-KG"/>
              </w:rPr>
              <w:t>9</w:t>
            </w:r>
            <w:r w:rsidRPr="001A00E5">
              <w:rPr>
                <w:color w:val="000000" w:themeColor="text1"/>
                <w:sz w:val="24"/>
                <w:lang w:val="ky-KG"/>
              </w:rPr>
              <w:t xml:space="preserve"> эсеге  көбөйгөн же (</w:t>
            </w:r>
            <w:r w:rsidR="00F50A92" w:rsidRPr="001A00E5">
              <w:rPr>
                <w:color w:val="000000" w:themeColor="text1"/>
                <w:sz w:val="24"/>
                <w:lang w:val="ky-KG"/>
              </w:rPr>
              <w:t>4</w:t>
            </w:r>
            <w:r w:rsidR="00EB5EFD">
              <w:rPr>
                <w:color w:val="000000" w:themeColor="text1"/>
                <w:sz w:val="24"/>
                <w:lang w:val="ky-KG"/>
              </w:rPr>
              <w:t xml:space="preserve"> </w:t>
            </w:r>
            <w:r w:rsidR="00F50A92" w:rsidRPr="001A00E5">
              <w:rPr>
                <w:color w:val="000000" w:themeColor="text1"/>
                <w:sz w:val="24"/>
                <w:lang w:val="ky-KG"/>
              </w:rPr>
              <w:t>972,2</w:t>
            </w:r>
            <w:r w:rsidRPr="001A00E5">
              <w:rPr>
                <w:color w:val="000000" w:themeColor="text1"/>
                <w:sz w:val="24"/>
                <w:lang w:val="ky-KG"/>
              </w:rPr>
              <w:t xml:space="preserve"> млн. сомго).</w:t>
            </w:r>
          </w:p>
        </w:tc>
        <w:tc>
          <w:tcPr>
            <w:tcW w:w="4854" w:type="dxa"/>
          </w:tcPr>
          <w:p w14:paraId="4A1AD7BA" w14:textId="06A3FA99" w:rsidR="00CD09DA" w:rsidRPr="00CE232F" w:rsidRDefault="00CD09DA" w:rsidP="00CD09DA">
            <w:pPr>
              <w:jc w:val="both"/>
              <w:rPr>
                <w:i/>
                <w:sz w:val="24"/>
              </w:rPr>
            </w:pPr>
            <w:r w:rsidRPr="00CE232F">
              <w:rPr>
                <w:i/>
                <w:sz w:val="24"/>
                <w:lang w:val="ky-KG"/>
              </w:rPr>
              <w:t xml:space="preserve">     </w:t>
            </w:r>
            <w:r w:rsidRPr="00CE232F">
              <w:rPr>
                <w:i/>
                <w:sz w:val="24"/>
              </w:rPr>
              <w:t>За 20</w:t>
            </w:r>
            <w:r w:rsidR="00CE232F" w:rsidRPr="00CE232F">
              <w:rPr>
                <w:i/>
                <w:sz w:val="24"/>
              </w:rPr>
              <w:t>20</w:t>
            </w:r>
            <w:r w:rsidRPr="00CE232F">
              <w:rPr>
                <w:i/>
                <w:sz w:val="24"/>
              </w:rPr>
              <w:t>-20</w:t>
            </w:r>
            <w:r w:rsidRPr="00CE232F">
              <w:rPr>
                <w:i/>
                <w:sz w:val="24"/>
                <w:lang w:val="ky-KG"/>
              </w:rPr>
              <w:t>2</w:t>
            </w:r>
            <w:r w:rsidR="00CE232F" w:rsidRPr="00CE232F">
              <w:rPr>
                <w:i/>
                <w:sz w:val="24"/>
                <w:lang w:val="ky-KG"/>
              </w:rPr>
              <w:t>4</w:t>
            </w:r>
            <w:r w:rsidRPr="00CE232F">
              <w:rPr>
                <w:i/>
                <w:sz w:val="24"/>
              </w:rPr>
              <w:t xml:space="preserve"> годы поступления в доходную часть местного бюджета</w:t>
            </w:r>
            <w:r w:rsidRPr="00CE232F">
              <w:rPr>
                <w:i/>
                <w:sz w:val="24"/>
                <w:lang w:val="ky-KG"/>
              </w:rPr>
              <w:t xml:space="preserve"> увеличились</w:t>
            </w:r>
            <w:r w:rsidRPr="00CE232F">
              <w:rPr>
                <w:i/>
                <w:sz w:val="24"/>
              </w:rPr>
              <w:t xml:space="preserve"> с </w:t>
            </w:r>
            <w:r w:rsidR="00CE232F" w:rsidRPr="00CE232F">
              <w:rPr>
                <w:i/>
                <w:sz w:val="24"/>
              </w:rPr>
              <w:t>2575,4</w:t>
            </w:r>
            <w:r w:rsidRPr="00CE232F">
              <w:rPr>
                <w:i/>
                <w:sz w:val="24"/>
              </w:rPr>
              <w:t xml:space="preserve"> млн. сомов</w:t>
            </w:r>
            <w:r w:rsidRPr="00CE232F">
              <w:rPr>
                <w:i/>
                <w:sz w:val="24"/>
                <w:lang w:val="ky-KG"/>
              </w:rPr>
              <w:t xml:space="preserve"> </w:t>
            </w:r>
            <w:r w:rsidRPr="00CE232F">
              <w:rPr>
                <w:i/>
                <w:sz w:val="24"/>
              </w:rPr>
              <w:t xml:space="preserve">до </w:t>
            </w:r>
            <w:r w:rsidR="00CE232F" w:rsidRPr="00CE232F">
              <w:rPr>
                <w:i/>
                <w:sz w:val="24"/>
              </w:rPr>
              <w:t>7547,6</w:t>
            </w:r>
            <w:r w:rsidRPr="00CE232F">
              <w:rPr>
                <w:i/>
                <w:sz w:val="24"/>
              </w:rPr>
              <w:t xml:space="preserve"> млн. сомов</w:t>
            </w:r>
            <w:r w:rsidRPr="00CE232F">
              <w:rPr>
                <w:i/>
                <w:sz w:val="24"/>
                <w:lang w:val="ky-KG"/>
              </w:rPr>
              <w:t xml:space="preserve"> </w:t>
            </w:r>
            <w:r w:rsidRPr="00CE232F">
              <w:rPr>
                <w:i/>
                <w:sz w:val="24"/>
              </w:rPr>
              <w:t xml:space="preserve">(включая поступления от продажи нефинансовых активов), </w:t>
            </w:r>
            <w:r w:rsidRPr="00CE232F">
              <w:rPr>
                <w:i/>
                <w:sz w:val="24"/>
                <w:lang w:val="ky-KG"/>
              </w:rPr>
              <w:t>в 2,</w:t>
            </w:r>
            <w:r w:rsidR="00CE232F" w:rsidRPr="00CE232F">
              <w:rPr>
                <w:i/>
                <w:sz w:val="24"/>
                <w:lang w:val="ky-KG"/>
              </w:rPr>
              <w:t>9</w:t>
            </w:r>
            <w:r w:rsidRPr="00CE232F">
              <w:rPr>
                <w:i/>
                <w:sz w:val="24"/>
                <w:lang w:val="ky-KG"/>
              </w:rPr>
              <w:t xml:space="preserve"> раза</w:t>
            </w:r>
            <w:r w:rsidRPr="00CE232F">
              <w:rPr>
                <w:i/>
                <w:sz w:val="24"/>
              </w:rPr>
              <w:t xml:space="preserve"> </w:t>
            </w:r>
            <w:r w:rsidRPr="00CE232F">
              <w:rPr>
                <w:i/>
                <w:sz w:val="24"/>
                <w:lang w:val="ky-KG"/>
              </w:rPr>
              <w:t xml:space="preserve">или на </w:t>
            </w:r>
            <w:r w:rsidR="00CE232F" w:rsidRPr="00CE232F">
              <w:rPr>
                <w:i/>
                <w:sz w:val="24"/>
                <w:lang w:val="ky-KG"/>
              </w:rPr>
              <w:t>4972,2</w:t>
            </w:r>
            <w:r w:rsidRPr="00CE232F">
              <w:rPr>
                <w:i/>
                <w:sz w:val="24"/>
              </w:rPr>
              <w:t xml:space="preserve"> млн. сомов.</w:t>
            </w:r>
          </w:p>
        </w:tc>
      </w:tr>
      <w:tr w:rsidR="00CD09DA" w:rsidRPr="00947ABD" w14:paraId="4DE78F62" w14:textId="77777777" w:rsidTr="00372228">
        <w:tc>
          <w:tcPr>
            <w:tcW w:w="4785" w:type="dxa"/>
          </w:tcPr>
          <w:p w14:paraId="6AC18D9F" w14:textId="047EC1CF" w:rsidR="00CD09DA" w:rsidRPr="001A00E5" w:rsidRDefault="00CD09DA" w:rsidP="00CD09DA">
            <w:pPr>
              <w:pStyle w:val="1"/>
              <w:jc w:val="both"/>
              <w:rPr>
                <w:rFonts w:ascii="Times New Roman UniToktom" w:hAnsi="Times New Roman UniToktom" w:cs="Times New Roman UniToktom"/>
                <w:color w:val="000000" w:themeColor="text1"/>
                <w:sz w:val="24"/>
                <w:lang w:val="ky-KG"/>
              </w:rPr>
            </w:pPr>
            <w:r w:rsidRPr="001A00E5">
              <w:rPr>
                <w:rFonts w:ascii="Times New Roman UniToktom" w:hAnsi="Times New Roman UniToktom" w:cs="Times New Roman UniToktom"/>
                <w:color w:val="000000" w:themeColor="text1"/>
                <w:sz w:val="24"/>
                <w:lang w:val="ky-KG"/>
              </w:rPr>
              <w:t xml:space="preserve">     Кыргыз Республикасынын Финансы Министирлигинин Борбордук казыначылыгынын  маалыматтары боюнча 202</w:t>
            </w:r>
            <w:r w:rsidR="00F50A92" w:rsidRPr="001A00E5">
              <w:rPr>
                <w:rFonts w:ascii="Times New Roman UniToktom" w:hAnsi="Times New Roman UniToktom" w:cs="Times New Roman UniToktom"/>
                <w:color w:val="000000" w:themeColor="text1"/>
                <w:sz w:val="24"/>
                <w:lang w:val="ky-KG"/>
              </w:rPr>
              <w:t>4</w:t>
            </w:r>
            <w:r w:rsidRPr="001A00E5">
              <w:rPr>
                <w:rFonts w:ascii="Times New Roman UniToktom" w:hAnsi="Times New Roman UniToktom" w:cs="Times New Roman UniToktom"/>
                <w:color w:val="000000" w:themeColor="text1"/>
                <w:sz w:val="24"/>
                <w:lang w:val="ky-KG"/>
              </w:rPr>
              <w:t xml:space="preserve">-жылы жергиликтүү бюджеттин кирешелери облус боюнча </w:t>
            </w:r>
            <w:r w:rsidR="00F50A92" w:rsidRPr="001A00E5">
              <w:rPr>
                <w:rFonts w:ascii="Times New Roman UniToktom" w:hAnsi="Times New Roman UniToktom" w:cs="Times New Roman UniToktom"/>
                <w:color w:val="000000" w:themeColor="text1"/>
                <w:sz w:val="24"/>
                <w:lang w:val="ky-KG"/>
              </w:rPr>
              <w:t>7</w:t>
            </w:r>
            <w:r w:rsidR="00EB5EFD">
              <w:rPr>
                <w:rFonts w:ascii="Times New Roman UniToktom" w:hAnsi="Times New Roman UniToktom" w:cs="Times New Roman UniToktom"/>
                <w:color w:val="000000" w:themeColor="text1"/>
                <w:sz w:val="24"/>
                <w:lang w:val="ky-KG"/>
              </w:rPr>
              <w:t xml:space="preserve"> </w:t>
            </w:r>
            <w:r w:rsidR="00F50A92" w:rsidRPr="001A00E5">
              <w:rPr>
                <w:rFonts w:ascii="Times New Roman UniToktom" w:hAnsi="Times New Roman UniToktom" w:cs="Times New Roman UniToktom"/>
                <w:color w:val="000000" w:themeColor="text1"/>
                <w:sz w:val="24"/>
                <w:lang w:val="ky-KG"/>
              </w:rPr>
              <w:t>547,6</w:t>
            </w:r>
            <w:r w:rsidRPr="001A00E5">
              <w:rPr>
                <w:rFonts w:ascii="Times New Roman UniToktom" w:hAnsi="Times New Roman UniToktom" w:cs="Times New Roman UniToktom"/>
                <w:color w:val="000000" w:themeColor="text1"/>
                <w:sz w:val="24"/>
                <w:lang w:val="ky-KG"/>
              </w:rPr>
              <w:t xml:space="preserve"> млн. сом өлчөмүндө аныкталды, өткөн жылдын ушул мезгилине салыштырмалуу </w:t>
            </w:r>
            <w:r w:rsidR="00F50A92" w:rsidRPr="001A00E5">
              <w:rPr>
                <w:rFonts w:ascii="Times New Roman UniToktom" w:hAnsi="Times New Roman UniToktom" w:cs="Times New Roman UniToktom"/>
                <w:color w:val="000000" w:themeColor="text1"/>
                <w:sz w:val="24"/>
                <w:lang w:val="ky-KG"/>
              </w:rPr>
              <w:t>14,1</w:t>
            </w:r>
            <w:r w:rsidRPr="001A00E5">
              <w:rPr>
                <w:rFonts w:ascii="Times New Roman UniToktom" w:hAnsi="Times New Roman UniToktom" w:cs="Times New Roman UniToktom"/>
                <w:color w:val="000000" w:themeColor="text1"/>
                <w:sz w:val="24"/>
                <w:lang w:val="ky-KG"/>
              </w:rPr>
              <w:t xml:space="preserve"> пайызга көбөйгөн. </w:t>
            </w:r>
          </w:p>
        </w:tc>
        <w:tc>
          <w:tcPr>
            <w:tcW w:w="4854" w:type="dxa"/>
          </w:tcPr>
          <w:p w14:paraId="2EA8D383" w14:textId="4D7C6139" w:rsidR="00CD09DA" w:rsidRPr="00CE232F" w:rsidRDefault="00CD09DA" w:rsidP="00CD09DA">
            <w:pPr>
              <w:pStyle w:val="24"/>
              <w:jc w:val="both"/>
              <w:rPr>
                <w:rFonts w:ascii="Times New Roman UniToktom" w:hAnsi="Times New Roman UniToktom" w:cs="Times New Roman UniToktom"/>
                <w:i/>
                <w:sz w:val="24"/>
                <w:szCs w:val="24"/>
              </w:rPr>
            </w:pPr>
            <w:r w:rsidRPr="00CE232F">
              <w:rPr>
                <w:rFonts w:ascii="Times New Roman UniToktom" w:hAnsi="Times New Roman UniToktom" w:cs="Times New Roman UniToktom"/>
                <w:i/>
                <w:sz w:val="24"/>
                <w:szCs w:val="24"/>
                <w:lang w:val="ky-KG"/>
              </w:rPr>
              <w:t xml:space="preserve">      </w:t>
            </w:r>
            <w:r w:rsidRPr="00CE232F">
              <w:rPr>
                <w:rFonts w:ascii="Times New Roman UniToktom" w:hAnsi="Times New Roman UniToktom" w:cs="Times New Roman UniToktom"/>
                <w:i/>
                <w:sz w:val="24"/>
                <w:szCs w:val="24"/>
              </w:rPr>
              <w:t>По данным Центрального казначейства Министерства Финансов Кыргызской Республики в 20</w:t>
            </w:r>
            <w:r w:rsidRPr="00CE232F">
              <w:rPr>
                <w:rFonts w:ascii="Times New Roman UniToktom" w:hAnsi="Times New Roman UniToktom" w:cs="Times New Roman UniToktom"/>
                <w:i/>
                <w:sz w:val="24"/>
                <w:szCs w:val="24"/>
                <w:lang w:val="ky-KG"/>
              </w:rPr>
              <w:t>2</w:t>
            </w:r>
            <w:r w:rsidR="00CE232F" w:rsidRPr="00CE232F">
              <w:rPr>
                <w:rFonts w:ascii="Times New Roman UniToktom" w:hAnsi="Times New Roman UniToktom" w:cs="Times New Roman UniToktom"/>
                <w:i/>
                <w:sz w:val="24"/>
                <w:szCs w:val="24"/>
                <w:lang w:val="ky-KG"/>
              </w:rPr>
              <w:t>4</w:t>
            </w:r>
            <w:r w:rsidRPr="00CE232F">
              <w:rPr>
                <w:rFonts w:ascii="Times New Roman UniToktom" w:hAnsi="Times New Roman UniToktom" w:cs="Times New Roman UniToktom"/>
                <w:i/>
                <w:sz w:val="24"/>
                <w:szCs w:val="24"/>
              </w:rPr>
              <w:t xml:space="preserve"> год</w:t>
            </w:r>
            <w:r w:rsidRPr="00CE232F">
              <w:rPr>
                <w:rFonts w:ascii="Times New Roman UniToktom" w:hAnsi="Times New Roman UniToktom" w:cs="Times New Roman UniToktom"/>
                <w:i/>
                <w:sz w:val="24"/>
                <w:szCs w:val="24"/>
                <w:lang w:val="ky-KG"/>
              </w:rPr>
              <w:t>у</w:t>
            </w:r>
            <w:r w:rsidRPr="00CE232F">
              <w:rPr>
                <w:rFonts w:ascii="Times New Roman UniToktom" w:hAnsi="Times New Roman UniToktom" w:cs="Times New Roman UniToktom"/>
                <w:i/>
                <w:sz w:val="24"/>
                <w:szCs w:val="24"/>
              </w:rPr>
              <w:t xml:space="preserve"> доход местного бюджета области определился в размере </w:t>
            </w:r>
            <w:r w:rsidR="00CE232F" w:rsidRPr="00CE232F">
              <w:rPr>
                <w:rFonts w:ascii="Times New Roman UniToktom" w:hAnsi="Times New Roman UniToktom" w:cs="Times New Roman UniToktom"/>
                <w:i/>
                <w:sz w:val="24"/>
                <w:szCs w:val="24"/>
                <w:lang w:val="ky-KG"/>
              </w:rPr>
              <w:t>7547,6</w:t>
            </w:r>
            <w:r w:rsidRPr="00CE232F">
              <w:rPr>
                <w:rFonts w:ascii="Times New Roman UniToktom" w:hAnsi="Times New Roman UniToktom" w:cs="Times New Roman UniToktom"/>
                <w:i/>
                <w:sz w:val="24"/>
                <w:szCs w:val="24"/>
                <w:lang w:val="ky-KG"/>
              </w:rPr>
              <w:t xml:space="preserve"> млн.</w:t>
            </w:r>
            <w:r w:rsidRPr="00CE232F">
              <w:rPr>
                <w:rFonts w:ascii="Times New Roman UniToktom" w:hAnsi="Times New Roman UniToktom" w:cs="Times New Roman UniToktom"/>
                <w:i/>
                <w:sz w:val="24"/>
                <w:szCs w:val="24"/>
              </w:rPr>
              <w:t xml:space="preserve"> сомов, что на </w:t>
            </w:r>
            <w:r w:rsidR="00CE232F" w:rsidRPr="00CE232F">
              <w:rPr>
                <w:rFonts w:ascii="Times New Roman UniToktom" w:hAnsi="Times New Roman UniToktom" w:cs="Times New Roman UniToktom"/>
                <w:i/>
                <w:sz w:val="24"/>
                <w:szCs w:val="24"/>
                <w:lang w:val="ky-KG"/>
              </w:rPr>
              <w:t>14,1</w:t>
            </w:r>
            <w:r w:rsidRPr="00CE232F">
              <w:rPr>
                <w:rFonts w:ascii="Times New Roman UniToktom" w:hAnsi="Times New Roman UniToktom" w:cs="Times New Roman UniToktom"/>
                <w:i/>
                <w:sz w:val="24"/>
                <w:szCs w:val="24"/>
                <w:lang w:val="ky-KG"/>
              </w:rPr>
              <w:t xml:space="preserve"> </w:t>
            </w:r>
            <w:r w:rsidRPr="00CE232F">
              <w:rPr>
                <w:rFonts w:ascii="Times New Roman UniToktom" w:hAnsi="Times New Roman UniToktom" w:cs="Times New Roman UniToktom"/>
                <w:i/>
                <w:sz w:val="24"/>
                <w:szCs w:val="24"/>
              </w:rPr>
              <w:t>процента</w:t>
            </w:r>
            <w:r w:rsidRPr="00CE232F">
              <w:rPr>
                <w:rFonts w:ascii="Times New Roman UniToktom" w:hAnsi="Times New Roman UniToktom" w:cs="Times New Roman UniToktom"/>
                <w:i/>
                <w:sz w:val="24"/>
                <w:szCs w:val="24"/>
                <w:lang w:val="ky-KG"/>
              </w:rPr>
              <w:t xml:space="preserve"> увеличилась</w:t>
            </w:r>
            <w:r w:rsidRPr="00CE232F">
              <w:rPr>
                <w:rFonts w:ascii="Times New Roman UniToktom" w:hAnsi="Times New Roman UniToktom" w:cs="Times New Roman UniToktom"/>
                <w:i/>
                <w:sz w:val="24"/>
                <w:szCs w:val="24"/>
              </w:rPr>
              <w:t>,</w:t>
            </w:r>
            <w:r w:rsidRPr="00CE232F">
              <w:rPr>
                <w:rFonts w:ascii="Times New Roman UniToktom" w:hAnsi="Times New Roman UniToktom" w:cs="Times New Roman UniToktom"/>
                <w:i/>
                <w:sz w:val="24"/>
                <w:szCs w:val="24"/>
                <w:lang w:val="ky-KG"/>
              </w:rPr>
              <w:t xml:space="preserve"> </w:t>
            </w:r>
            <w:r w:rsidRPr="00CE232F">
              <w:rPr>
                <w:rFonts w:ascii="Times New Roman UniToktom" w:hAnsi="Times New Roman UniToktom" w:cs="Times New Roman UniToktom"/>
                <w:i/>
                <w:sz w:val="24"/>
                <w:szCs w:val="24"/>
              </w:rPr>
              <w:t>чем за</w:t>
            </w:r>
            <w:r w:rsidRPr="00CE232F">
              <w:rPr>
                <w:rFonts w:ascii="Times New Roman UniToktom" w:hAnsi="Times New Roman UniToktom" w:cs="Times New Roman UniToktom"/>
                <w:i/>
                <w:sz w:val="24"/>
                <w:szCs w:val="24"/>
                <w:lang w:val="ky-KG"/>
              </w:rPr>
              <w:t xml:space="preserve"> </w:t>
            </w:r>
            <w:r w:rsidRPr="00CE232F">
              <w:rPr>
                <w:rFonts w:ascii="Times New Roman UniToktom" w:hAnsi="Times New Roman UniToktom" w:cs="Times New Roman UniToktom"/>
                <w:i/>
                <w:sz w:val="24"/>
                <w:szCs w:val="24"/>
              </w:rPr>
              <w:t>соответствующий период прошлого года.</w:t>
            </w:r>
          </w:p>
          <w:p w14:paraId="53B1250F" w14:textId="77777777" w:rsidR="00CD09DA" w:rsidRPr="00C44EE6" w:rsidRDefault="00CD09DA" w:rsidP="00CD09DA">
            <w:pPr>
              <w:ind w:firstLine="720"/>
              <w:jc w:val="both"/>
              <w:rPr>
                <w:rFonts w:eastAsia="Calibri"/>
                <w:i/>
                <w:color w:val="EE0000"/>
                <w:sz w:val="24"/>
                <w:szCs w:val="24"/>
                <w:lang w:eastAsia="en-US"/>
              </w:rPr>
            </w:pPr>
          </w:p>
        </w:tc>
      </w:tr>
      <w:tr w:rsidR="00CD09DA" w:rsidRPr="00947ABD" w14:paraId="13000CD6" w14:textId="77777777" w:rsidTr="00372228">
        <w:tc>
          <w:tcPr>
            <w:tcW w:w="4785" w:type="dxa"/>
          </w:tcPr>
          <w:p w14:paraId="477481C3" w14:textId="2F35A7C9" w:rsidR="00CD09DA" w:rsidRPr="001A00E5" w:rsidRDefault="00CD09DA" w:rsidP="00CD09DA">
            <w:pPr>
              <w:pStyle w:val="13"/>
              <w:jc w:val="both"/>
              <w:rPr>
                <w:rFonts w:ascii="Times New Roman UniToktom" w:hAnsi="Times New Roman UniToktom" w:cs="Times New Roman UniToktom"/>
                <w:color w:val="000000" w:themeColor="text1"/>
                <w:sz w:val="24"/>
                <w:szCs w:val="24"/>
                <w:lang w:val="ky-KG"/>
              </w:rPr>
            </w:pPr>
            <w:r w:rsidRPr="001A00E5">
              <w:rPr>
                <w:rFonts w:ascii="Times New Roman UniToktom" w:hAnsi="Times New Roman UniToktom" w:cs="Times New Roman UniToktom"/>
                <w:color w:val="000000" w:themeColor="text1"/>
                <w:sz w:val="24"/>
                <w:szCs w:val="24"/>
                <w:lang w:val="ky-KG"/>
              </w:rPr>
              <w:t xml:space="preserve">      202</w:t>
            </w:r>
            <w:r w:rsidR="00F50A92" w:rsidRPr="001A00E5">
              <w:rPr>
                <w:rFonts w:ascii="Times New Roman UniToktom" w:hAnsi="Times New Roman UniToktom" w:cs="Times New Roman UniToktom"/>
                <w:color w:val="000000" w:themeColor="text1"/>
                <w:sz w:val="24"/>
                <w:szCs w:val="24"/>
                <w:lang w:val="ky-KG"/>
              </w:rPr>
              <w:t>4</w:t>
            </w:r>
            <w:r w:rsidRPr="001A00E5">
              <w:rPr>
                <w:rFonts w:ascii="Times New Roman UniToktom" w:hAnsi="Times New Roman UniToktom" w:cs="Times New Roman UniToktom"/>
                <w:color w:val="000000" w:themeColor="text1"/>
                <w:sz w:val="24"/>
                <w:szCs w:val="24"/>
                <w:lang w:val="ky-KG"/>
              </w:rPr>
              <w:t>-жылы жергиликтүү бюджетин операциялык ишмердиктен түшкөн киреше бөлүгүнүн 4</w:t>
            </w:r>
            <w:r w:rsidR="00F50A92" w:rsidRPr="001A00E5">
              <w:rPr>
                <w:rFonts w:ascii="Times New Roman UniToktom" w:hAnsi="Times New Roman UniToktom" w:cs="Times New Roman UniToktom"/>
                <w:color w:val="000000" w:themeColor="text1"/>
                <w:sz w:val="24"/>
                <w:szCs w:val="24"/>
                <w:lang w:val="ky-KG"/>
              </w:rPr>
              <w:t>5,0</w:t>
            </w:r>
            <w:r w:rsidRPr="001A00E5">
              <w:rPr>
                <w:rFonts w:ascii="Times New Roman UniToktom" w:hAnsi="Times New Roman UniToktom" w:cs="Times New Roman UniToktom"/>
                <w:color w:val="000000" w:themeColor="text1"/>
                <w:sz w:val="24"/>
                <w:szCs w:val="24"/>
                <w:lang w:val="ky-KG"/>
              </w:rPr>
              <w:t xml:space="preserve"> пайызы же 3</w:t>
            </w:r>
            <w:r w:rsidR="00EB5EFD">
              <w:rPr>
                <w:rFonts w:ascii="Times New Roman UniToktom" w:hAnsi="Times New Roman UniToktom" w:cs="Times New Roman UniToktom"/>
                <w:color w:val="000000" w:themeColor="text1"/>
                <w:sz w:val="24"/>
                <w:szCs w:val="24"/>
                <w:lang w:val="ky-KG"/>
              </w:rPr>
              <w:t xml:space="preserve"> </w:t>
            </w:r>
            <w:r w:rsidR="00F50A92" w:rsidRPr="001A00E5">
              <w:rPr>
                <w:rFonts w:ascii="Times New Roman UniToktom" w:hAnsi="Times New Roman UniToktom" w:cs="Times New Roman UniToktom"/>
                <w:color w:val="000000" w:themeColor="text1"/>
                <w:sz w:val="24"/>
                <w:szCs w:val="24"/>
                <w:lang w:val="ky-KG"/>
              </w:rPr>
              <w:t>397,2</w:t>
            </w:r>
            <w:r w:rsidRPr="001A00E5">
              <w:rPr>
                <w:rFonts w:ascii="Times New Roman UniToktom" w:hAnsi="Times New Roman UniToktom" w:cs="Times New Roman UniToktom"/>
                <w:color w:val="000000" w:themeColor="text1"/>
                <w:sz w:val="24"/>
                <w:szCs w:val="24"/>
                <w:lang w:val="ky-KG"/>
              </w:rPr>
              <w:t xml:space="preserve"> млн. сому салык төлөмдөрүнө таандык, 202</w:t>
            </w:r>
            <w:r w:rsidR="00F50A92" w:rsidRPr="001A00E5">
              <w:rPr>
                <w:rFonts w:ascii="Times New Roman UniToktom" w:hAnsi="Times New Roman UniToktom" w:cs="Times New Roman UniToktom"/>
                <w:color w:val="000000" w:themeColor="text1"/>
                <w:sz w:val="24"/>
                <w:szCs w:val="24"/>
                <w:lang w:val="ky-KG"/>
              </w:rPr>
              <w:t>3</w:t>
            </w:r>
            <w:r w:rsidRPr="001A00E5">
              <w:rPr>
                <w:rFonts w:ascii="Times New Roman UniToktom" w:hAnsi="Times New Roman UniToktom" w:cs="Times New Roman UniToktom"/>
                <w:color w:val="000000" w:themeColor="text1"/>
                <w:sz w:val="24"/>
                <w:szCs w:val="24"/>
                <w:lang w:val="ky-KG"/>
              </w:rPr>
              <w:t xml:space="preserve">-жылы ал көрсөткүч – </w:t>
            </w:r>
            <w:r w:rsidR="00F50A92" w:rsidRPr="001A00E5">
              <w:rPr>
                <w:rFonts w:ascii="Times New Roman UniToktom" w:hAnsi="Times New Roman UniToktom" w:cs="Times New Roman UniToktom"/>
                <w:color w:val="000000" w:themeColor="text1"/>
                <w:sz w:val="24"/>
                <w:szCs w:val="24"/>
                <w:lang w:val="ky-KG"/>
              </w:rPr>
              <w:t>46,2</w:t>
            </w:r>
            <w:r w:rsidRPr="001A00E5">
              <w:rPr>
                <w:rFonts w:ascii="Times New Roman UniToktom" w:hAnsi="Times New Roman UniToktom" w:cs="Times New Roman UniToktom"/>
                <w:color w:val="000000" w:themeColor="text1"/>
                <w:sz w:val="24"/>
                <w:szCs w:val="24"/>
                <w:lang w:val="ky-KG"/>
              </w:rPr>
              <w:t xml:space="preserve"> пайызды же </w:t>
            </w:r>
            <w:r w:rsidR="00F50A92" w:rsidRPr="001A00E5">
              <w:rPr>
                <w:rFonts w:ascii="Times New Roman UniToktom" w:hAnsi="Times New Roman UniToktom" w:cs="Times New Roman UniToktom"/>
                <w:color w:val="000000" w:themeColor="text1"/>
                <w:sz w:val="24"/>
                <w:szCs w:val="24"/>
                <w:lang w:val="ky-KG"/>
              </w:rPr>
              <w:t>3</w:t>
            </w:r>
            <w:r w:rsidR="00EB5EFD">
              <w:rPr>
                <w:rFonts w:ascii="Times New Roman UniToktom" w:hAnsi="Times New Roman UniToktom" w:cs="Times New Roman UniToktom"/>
                <w:color w:val="000000" w:themeColor="text1"/>
                <w:sz w:val="24"/>
                <w:szCs w:val="24"/>
                <w:lang w:val="ky-KG"/>
              </w:rPr>
              <w:t xml:space="preserve"> </w:t>
            </w:r>
            <w:r w:rsidR="00F50A92" w:rsidRPr="001A00E5">
              <w:rPr>
                <w:rFonts w:ascii="Times New Roman UniToktom" w:hAnsi="Times New Roman UniToktom" w:cs="Times New Roman UniToktom"/>
                <w:color w:val="000000" w:themeColor="text1"/>
                <w:sz w:val="24"/>
                <w:szCs w:val="24"/>
                <w:lang w:val="ky-KG"/>
              </w:rPr>
              <w:t>052,5</w:t>
            </w:r>
            <w:r w:rsidRPr="001A00E5">
              <w:rPr>
                <w:rFonts w:ascii="Times New Roman UniToktom" w:hAnsi="Times New Roman UniToktom" w:cs="Times New Roman UniToktom"/>
                <w:color w:val="000000" w:themeColor="text1"/>
                <w:sz w:val="24"/>
                <w:szCs w:val="24"/>
                <w:lang w:val="ky-KG"/>
              </w:rPr>
              <w:t xml:space="preserve"> млн. сомду түзгөн. Ал эми 20</w:t>
            </w:r>
            <w:r w:rsidR="00F50A92" w:rsidRPr="001A00E5">
              <w:rPr>
                <w:rFonts w:ascii="Times New Roman UniToktom" w:hAnsi="Times New Roman UniToktom" w:cs="Times New Roman UniToktom"/>
                <w:color w:val="000000" w:themeColor="text1"/>
                <w:sz w:val="24"/>
                <w:szCs w:val="24"/>
                <w:lang w:val="ky-KG"/>
              </w:rPr>
              <w:t>20</w:t>
            </w:r>
            <w:r w:rsidRPr="001A00E5">
              <w:rPr>
                <w:rFonts w:ascii="Times New Roman UniToktom" w:hAnsi="Times New Roman UniToktom" w:cs="Times New Roman UniToktom"/>
                <w:color w:val="000000" w:themeColor="text1"/>
                <w:sz w:val="24"/>
                <w:szCs w:val="24"/>
                <w:lang w:val="ky-KG"/>
              </w:rPr>
              <w:t xml:space="preserve">-жылга салыштырмалуу салыктык кирешелери 2 эсеге (же </w:t>
            </w:r>
            <w:r w:rsidR="00EA284A" w:rsidRPr="001A00E5">
              <w:rPr>
                <w:rFonts w:ascii="Times New Roman UniToktom" w:hAnsi="Times New Roman UniToktom" w:cs="Times New Roman UniToktom"/>
                <w:color w:val="000000" w:themeColor="text1"/>
                <w:sz w:val="24"/>
                <w:szCs w:val="24"/>
                <w:lang w:val="ky-KG"/>
              </w:rPr>
              <w:t>1</w:t>
            </w:r>
            <w:r w:rsidR="00EB5EFD">
              <w:rPr>
                <w:rFonts w:ascii="Times New Roman UniToktom" w:hAnsi="Times New Roman UniToktom" w:cs="Times New Roman UniToktom"/>
                <w:color w:val="000000" w:themeColor="text1"/>
                <w:sz w:val="24"/>
                <w:szCs w:val="24"/>
                <w:lang w:val="ky-KG"/>
              </w:rPr>
              <w:t xml:space="preserve"> </w:t>
            </w:r>
            <w:r w:rsidR="00EA284A" w:rsidRPr="001A00E5">
              <w:rPr>
                <w:rFonts w:ascii="Times New Roman UniToktom" w:hAnsi="Times New Roman UniToktom" w:cs="Times New Roman UniToktom"/>
                <w:color w:val="000000" w:themeColor="text1"/>
                <w:sz w:val="24"/>
                <w:szCs w:val="24"/>
                <w:lang w:val="ky-KG"/>
              </w:rPr>
              <w:t>742,7</w:t>
            </w:r>
            <w:r w:rsidRPr="001A00E5">
              <w:rPr>
                <w:rFonts w:ascii="Times New Roman UniToktom" w:hAnsi="Times New Roman UniToktom" w:cs="Times New Roman UniToktom"/>
                <w:color w:val="000000" w:themeColor="text1"/>
                <w:sz w:val="24"/>
                <w:szCs w:val="24"/>
                <w:lang w:val="ky-KG"/>
              </w:rPr>
              <w:t xml:space="preserve"> млн. сомго) көбөйгөн. </w:t>
            </w:r>
          </w:p>
        </w:tc>
        <w:tc>
          <w:tcPr>
            <w:tcW w:w="4854" w:type="dxa"/>
          </w:tcPr>
          <w:p w14:paraId="5BA2E38A" w14:textId="3E176D50" w:rsidR="00CD09DA" w:rsidRPr="00C44EE6" w:rsidRDefault="00CD09DA" w:rsidP="00CD09DA">
            <w:pPr>
              <w:pStyle w:val="24"/>
              <w:jc w:val="both"/>
              <w:rPr>
                <w:i/>
                <w:color w:val="EE0000"/>
                <w:sz w:val="24"/>
                <w:szCs w:val="24"/>
              </w:rPr>
            </w:pPr>
            <w:r w:rsidRPr="00C44EE6">
              <w:rPr>
                <w:rFonts w:ascii="Times New Roman UniToktom" w:hAnsi="Times New Roman UniToktom" w:cs="Times New Roman UniToktom"/>
                <w:i/>
                <w:color w:val="EE0000"/>
                <w:sz w:val="24"/>
                <w:szCs w:val="24"/>
                <w:lang w:val="ky-KG"/>
              </w:rPr>
              <w:t xml:space="preserve">      </w:t>
            </w:r>
            <w:r w:rsidRPr="00CE232F">
              <w:rPr>
                <w:rFonts w:ascii="Times New Roman UniToktom" w:hAnsi="Times New Roman UniToktom" w:cs="Times New Roman UniToktom"/>
                <w:i/>
                <w:sz w:val="24"/>
                <w:szCs w:val="24"/>
              </w:rPr>
              <w:t>На налоговые поступления от операционной деятельности в 20</w:t>
            </w:r>
            <w:r w:rsidRPr="00CE232F">
              <w:rPr>
                <w:rFonts w:ascii="Times New Roman UniToktom" w:hAnsi="Times New Roman UniToktom" w:cs="Times New Roman UniToktom"/>
                <w:i/>
                <w:sz w:val="24"/>
                <w:szCs w:val="24"/>
                <w:lang w:val="ky-KG"/>
              </w:rPr>
              <w:t>2</w:t>
            </w:r>
            <w:r w:rsidR="00CE232F" w:rsidRPr="00CE232F">
              <w:rPr>
                <w:rFonts w:ascii="Times New Roman UniToktom" w:hAnsi="Times New Roman UniToktom" w:cs="Times New Roman UniToktom"/>
                <w:i/>
                <w:sz w:val="24"/>
                <w:szCs w:val="24"/>
                <w:lang w:val="ky-KG"/>
              </w:rPr>
              <w:t>4</w:t>
            </w:r>
            <w:r w:rsidRPr="00CE232F">
              <w:rPr>
                <w:rFonts w:ascii="Times New Roman UniToktom" w:hAnsi="Times New Roman UniToktom" w:cs="Times New Roman UniToktom"/>
                <w:i/>
                <w:sz w:val="24"/>
                <w:szCs w:val="24"/>
              </w:rPr>
              <w:t xml:space="preserve">г. приходилось </w:t>
            </w:r>
            <w:r w:rsidRPr="00CE232F">
              <w:rPr>
                <w:rFonts w:ascii="Times New Roman UniToktom" w:hAnsi="Times New Roman UniToktom" w:cs="Times New Roman UniToktom"/>
                <w:i/>
                <w:sz w:val="24"/>
                <w:szCs w:val="24"/>
                <w:lang w:val="ky-KG"/>
              </w:rPr>
              <w:t>4</w:t>
            </w:r>
            <w:r w:rsidR="00CE232F" w:rsidRPr="00CE232F">
              <w:rPr>
                <w:rFonts w:ascii="Times New Roman UniToktom" w:hAnsi="Times New Roman UniToktom" w:cs="Times New Roman UniToktom"/>
                <w:i/>
                <w:sz w:val="24"/>
                <w:szCs w:val="24"/>
                <w:lang w:val="ky-KG"/>
              </w:rPr>
              <w:t>5,0</w:t>
            </w:r>
            <w:r w:rsidRPr="00CE232F">
              <w:rPr>
                <w:rFonts w:ascii="Times New Roman UniToktom" w:hAnsi="Times New Roman UniToktom" w:cs="Times New Roman UniToktom"/>
                <w:i/>
                <w:sz w:val="24"/>
                <w:szCs w:val="24"/>
              </w:rPr>
              <w:t xml:space="preserve"> процента от общих доходов, ко</w:t>
            </w:r>
            <w:r w:rsidRPr="00CE232F">
              <w:rPr>
                <w:rFonts w:ascii="Times New Roman UniToktom" w:hAnsi="Times New Roman UniToktom" w:cs="Times New Roman UniToktom"/>
                <w:i/>
                <w:sz w:val="24"/>
                <w:szCs w:val="24"/>
                <w:lang w:val="ky-KG"/>
              </w:rPr>
              <w:t>т</w:t>
            </w:r>
            <w:proofErr w:type="spellStart"/>
            <w:r w:rsidRPr="00CE232F">
              <w:rPr>
                <w:rFonts w:ascii="Times New Roman UniToktom" w:hAnsi="Times New Roman UniToktom" w:cs="Times New Roman UniToktom"/>
                <w:i/>
                <w:sz w:val="24"/>
                <w:szCs w:val="24"/>
              </w:rPr>
              <w:t>орые</w:t>
            </w:r>
            <w:proofErr w:type="spellEnd"/>
            <w:r w:rsidRPr="00CE232F">
              <w:rPr>
                <w:rFonts w:ascii="Times New Roman UniToktom" w:hAnsi="Times New Roman UniToktom" w:cs="Times New Roman UniToktom"/>
                <w:i/>
                <w:sz w:val="24"/>
                <w:szCs w:val="24"/>
              </w:rPr>
              <w:t xml:space="preserve"> поступили за отчетный период в сумме </w:t>
            </w:r>
            <w:r w:rsidRPr="00CE232F">
              <w:rPr>
                <w:rFonts w:ascii="Times New Roman UniToktom" w:hAnsi="Times New Roman UniToktom" w:cs="Times New Roman UniToktom"/>
                <w:i/>
                <w:sz w:val="24"/>
                <w:szCs w:val="24"/>
                <w:lang w:val="ky-KG"/>
              </w:rPr>
              <w:t>3</w:t>
            </w:r>
            <w:r w:rsidR="00CE232F" w:rsidRPr="00CE232F">
              <w:rPr>
                <w:i/>
                <w:sz w:val="24"/>
                <w:szCs w:val="24"/>
                <w:lang w:val="ky-KG"/>
              </w:rPr>
              <w:t> 397,2</w:t>
            </w:r>
            <w:r w:rsidRPr="00CE232F">
              <w:rPr>
                <w:rFonts w:ascii="Times New Roman UniToktom" w:hAnsi="Times New Roman UniToktom" w:cs="Times New Roman UniToktom"/>
                <w:i/>
                <w:sz w:val="24"/>
                <w:szCs w:val="24"/>
                <w:lang w:val="ky-KG"/>
              </w:rPr>
              <w:t xml:space="preserve"> </w:t>
            </w:r>
            <w:r w:rsidRPr="00CE232F">
              <w:rPr>
                <w:rFonts w:ascii="Times New Roman UniToktom" w:hAnsi="Times New Roman UniToktom" w:cs="Times New Roman UniToktom"/>
                <w:i/>
                <w:sz w:val="24"/>
                <w:szCs w:val="24"/>
              </w:rPr>
              <w:t>млн. сомов,</w:t>
            </w:r>
            <w:r w:rsidRPr="00CE232F">
              <w:rPr>
                <w:rFonts w:ascii="Times New Roman UniToktom" w:hAnsi="Times New Roman UniToktom" w:cs="Times New Roman UniToktom"/>
                <w:i/>
                <w:sz w:val="24"/>
                <w:szCs w:val="24"/>
                <w:lang w:val="ky-KG"/>
              </w:rPr>
              <w:t xml:space="preserve"> </w:t>
            </w:r>
            <w:r w:rsidRPr="00CE232F">
              <w:rPr>
                <w:rFonts w:ascii="Times New Roman UniToktom" w:hAnsi="Times New Roman UniToktom" w:cs="Times New Roman UniToktom"/>
                <w:i/>
                <w:sz w:val="24"/>
                <w:szCs w:val="24"/>
              </w:rPr>
              <w:t>в</w:t>
            </w:r>
            <w:r w:rsidRPr="00CE232F">
              <w:rPr>
                <w:rFonts w:ascii="Times New Roman UniToktom" w:hAnsi="Times New Roman UniToktom" w:cs="Times New Roman UniToktom"/>
                <w:i/>
                <w:sz w:val="24"/>
                <w:szCs w:val="24"/>
                <w:lang w:val="ky-KG"/>
              </w:rPr>
              <w:t xml:space="preserve"> </w:t>
            </w:r>
            <w:r w:rsidRPr="00CE232F">
              <w:rPr>
                <w:rFonts w:ascii="Times New Roman UniToktom" w:hAnsi="Times New Roman UniToktom" w:cs="Times New Roman UniToktom"/>
                <w:i/>
                <w:sz w:val="24"/>
                <w:szCs w:val="24"/>
              </w:rPr>
              <w:t>20</w:t>
            </w:r>
            <w:r w:rsidRPr="00CE232F">
              <w:rPr>
                <w:rFonts w:ascii="Times New Roman UniToktom" w:hAnsi="Times New Roman UniToktom" w:cs="Times New Roman UniToktom"/>
                <w:i/>
                <w:sz w:val="24"/>
                <w:szCs w:val="24"/>
                <w:lang w:val="ky-KG"/>
              </w:rPr>
              <w:t>2</w:t>
            </w:r>
            <w:r w:rsidR="00CE232F" w:rsidRPr="00CE232F">
              <w:rPr>
                <w:rFonts w:ascii="Times New Roman UniToktom" w:hAnsi="Times New Roman UniToktom" w:cs="Times New Roman UniToktom"/>
                <w:i/>
                <w:sz w:val="24"/>
                <w:szCs w:val="24"/>
                <w:lang w:val="ky-KG"/>
              </w:rPr>
              <w:t>3</w:t>
            </w:r>
            <w:r w:rsidRPr="00CE232F">
              <w:rPr>
                <w:rFonts w:ascii="Times New Roman UniToktom" w:hAnsi="Times New Roman UniToktom" w:cs="Times New Roman UniToktom"/>
                <w:i/>
                <w:sz w:val="24"/>
                <w:szCs w:val="24"/>
              </w:rPr>
              <w:t xml:space="preserve"> год</w:t>
            </w:r>
            <w:r w:rsidRPr="00CE232F">
              <w:rPr>
                <w:rFonts w:ascii="Times New Roman UniToktom" w:hAnsi="Times New Roman UniToktom" w:cs="Times New Roman UniToktom"/>
                <w:i/>
                <w:sz w:val="24"/>
                <w:szCs w:val="24"/>
                <w:lang w:val="ky-KG"/>
              </w:rPr>
              <w:t>у они составиляли</w:t>
            </w:r>
            <w:r w:rsidRPr="00CE232F">
              <w:rPr>
                <w:rFonts w:ascii="Times New Roman UniToktom" w:hAnsi="Times New Roman UniToktom" w:cs="Times New Roman UniToktom"/>
                <w:i/>
                <w:sz w:val="24"/>
                <w:szCs w:val="24"/>
              </w:rPr>
              <w:t xml:space="preserve"> – </w:t>
            </w:r>
            <w:r w:rsidR="00CE232F" w:rsidRPr="00CE232F">
              <w:rPr>
                <w:rFonts w:ascii="Times New Roman UniToktom" w:hAnsi="Times New Roman UniToktom" w:cs="Times New Roman UniToktom"/>
                <w:i/>
                <w:sz w:val="24"/>
                <w:szCs w:val="24"/>
              </w:rPr>
              <w:t>46,2</w:t>
            </w:r>
            <w:r w:rsidRPr="00CE232F">
              <w:rPr>
                <w:rFonts w:ascii="Times New Roman UniToktom" w:hAnsi="Times New Roman UniToktom" w:cs="Times New Roman UniToktom"/>
                <w:i/>
                <w:sz w:val="24"/>
                <w:szCs w:val="24"/>
              </w:rPr>
              <w:t xml:space="preserve"> процента, или </w:t>
            </w:r>
            <w:r w:rsidR="00CE232F" w:rsidRPr="00CE232F">
              <w:rPr>
                <w:rFonts w:ascii="Times New Roman UniToktom" w:hAnsi="Times New Roman UniToktom" w:cs="Times New Roman UniToktom"/>
                <w:i/>
                <w:sz w:val="24"/>
                <w:szCs w:val="24"/>
              </w:rPr>
              <w:t>3 052 ,5</w:t>
            </w:r>
            <w:r w:rsidRPr="00CE232F">
              <w:rPr>
                <w:rFonts w:ascii="Times New Roman UniToktom" w:hAnsi="Times New Roman UniToktom" w:cs="Times New Roman UniToktom"/>
                <w:i/>
                <w:sz w:val="24"/>
                <w:szCs w:val="24"/>
              </w:rPr>
              <w:t xml:space="preserve"> млн. сомов.</w:t>
            </w:r>
            <w:r w:rsidRPr="00CE232F">
              <w:rPr>
                <w:i/>
                <w:sz w:val="24"/>
              </w:rPr>
              <w:t xml:space="preserve"> По сравнению с 20</w:t>
            </w:r>
            <w:r w:rsidR="00CE232F" w:rsidRPr="00CE232F">
              <w:rPr>
                <w:i/>
                <w:sz w:val="24"/>
              </w:rPr>
              <w:t>20</w:t>
            </w:r>
            <w:r w:rsidRPr="00CE232F">
              <w:rPr>
                <w:i/>
                <w:sz w:val="24"/>
                <w:lang w:val="ky-KG"/>
              </w:rPr>
              <w:t xml:space="preserve"> </w:t>
            </w:r>
            <w:r w:rsidRPr="00CE232F">
              <w:rPr>
                <w:i/>
                <w:sz w:val="24"/>
              </w:rPr>
              <w:t>годом в 20</w:t>
            </w:r>
            <w:r w:rsidRPr="00CE232F">
              <w:rPr>
                <w:i/>
                <w:sz w:val="24"/>
                <w:lang w:val="ky-KG"/>
              </w:rPr>
              <w:t>2</w:t>
            </w:r>
            <w:r w:rsidR="00CE232F" w:rsidRPr="00CE232F">
              <w:rPr>
                <w:i/>
                <w:sz w:val="24"/>
                <w:lang w:val="ky-KG"/>
              </w:rPr>
              <w:t>4</w:t>
            </w:r>
            <w:r w:rsidRPr="00CE232F">
              <w:rPr>
                <w:i/>
                <w:sz w:val="24"/>
              </w:rPr>
              <w:t xml:space="preserve"> году налоговые </w:t>
            </w:r>
            <w:proofErr w:type="spellStart"/>
            <w:r w:rsidRPr="00CE232F">
              <w:rPr>
                <w:i/>
                <w:sz w:val="24"/>
              </w:rPr>
              <w:t>поступлени</w:t>
            </w:r>
            <w:proofErr w:type="spellEnd"/>
            <w:r w:rsidRPr="00CE232F">
              <w:rPr>
                <w:i/>
                <w:sz w:val="24"/>
                <w:lang w:val="ky-KG"/>
              </w:rPr>
              <w:t xml:space="preserve">я </w:t>
            </w:r>
            <w:r w:rsidRPr="00CE232F">
              <w:rPr>
                <w:i/>
                <w:sz w:val="24"/>
              </w:rPr>
              <w:t xml:space="preserve">увеличились </w:t>
            </w:r>
            <w:r w:rsidRPr="00CE232F">
              <w:rPr>
                <w:i/>
                <w:sz w:val="24"/>
                <w:lang w:val="ky-KG"/>
              </w:rPr>
              <w:t>в</w:t>
            </w:r>
            <w:r w:rsidRPr="00CE232F">
              <w:rPr>
                <w:i/>
                <w:sz w:val="24"/>
              </w:rPr>
              <w:t xml:space="preserve"> </w:t>
            </w:r>
            <w:r w:rsidRPr="00CE232F">
              <w:rPr>
                <w:i/>
                <w:sz w:val="24"/>
                <w:lang w:val="ky-KG"/>
              </w:rPr>
              <w:t>2 раза</w:t>
            </w:r>
            <w:r w:rsidRPr="00CE232F">
              <w:rPr>
                <w:i/>
                <w:sz w:val="24"/>
              </w:rPr>
              <w:t xml:space="preserve"> </w:t>
            </w:r>
            <w:r w:rsidRPr="00CE232F">
              <w:rPr>
                <w:i/>
                <w:sz w:val="24"/>
                <w:lang w:val="ky-KG"/>
              </w:rPr>
              <w:t>или</w:t>
            </w:r>
            <w:r w:rsidRPr="00CE232F">
              <w:rPr>
                <w:i/>
                <w:sz w:val="24"/>
              </w:rPr>
              <w:t xml:space="preserve"> (</w:t>
            </w:r>
            <w:r w:rsidRPr="00CE232F">
              <w:rPr>
                <w:i/>
                <w:sz w:val="24"/>
                <w:lang w:val="ky-KG"/>
              </w:rPr>
              <w:t>1</w:t>
            </w:r>
            <w:r w:rsidR="00CE232F" w:rsidRPr="00CE232F">
              <w:rPr>
                <w:i/>
                <w:sz w:val="24"/>
                <w:szCs w:val="24"/>
                <w:lang w:val="ky-KG"/>
              </w:rPr>
              <w:t> 742,7</w:t>
            </w:r>
            <w:r w:rsidRPr="00CE232F">
              <w:rPr>
                <w:i/>
                <w:sz w:val="24"/>
              </w:rPr>
              <w:t xml:space="preserve"> млн. сомов).</w:t>
            </w:r>
          </w:p>
        </w:tc>
      </w:tr>
      <w:tr w:rsidR="00CD09DA" w:rsidRPr="00947ABD" w14:paraId="69C0B3F9" w14:textId="77777777" w:rsidTr="00372228">
        <w:tc>
          <w:tcPr>
            <w:tcW w:w="4785" w:type="dxa"/>
          </w:tcPr>
          <w:p w14:paraId="03F93035" w14:textId="3872A91B" w:rsidR="00CD09DA" w:rsidRPr="001A00E5" w:rsidRDefault="00CD09DA" w:rsidP="00CD09DA">
            <w:pPr>
              <w:pStyle w:val="13"/>
              <w:jc w:val="both"/>
              <w:rPr>
                <w:rFonts w:ascii="Times New Roman UniToktom" w:hAnsi="Times New Roman UniToktom" w:cs="Times New Roman UniToktom"/>
                <w:color w:val="000000" w:themeColor="text1"/>
                <w:sz w:val="24"/>
                <w:szCs w:val="24"/>
                <w:lang w:val="ky-KG"/>
              </w:rPr>
            </w:pPr>
            <w:r w:rsidRPr="001A00E5">
              <w:rPr>
                <w:rFonts w:ascii="Times New Roman UniToktom" w:hAnsi="Times New Roman UniToktom" w:cs="Times New Roman UniToktom"/>
                <w:color w:val="000000" w:themeColor="text1"/>
                <w:sz w:val="24"/>
                <w:szCs w:val="24"/>
                <w:lang w:val="ky-KG"/>
              </w:rPr>
              <w:t xml:space="preserve">      202</w:t>
            </w:r>
            <w:r w:rsidR="00EA284A" w:rsidRPr="001A00E5">
              <w:rPr>
                <w:rFonts w:ascii="Times New Roman UniToktom" w:hAnsi="Times New Roman UniToktom" w:cs="Times New Roman UniToktom"/>
                <w:color w:val="000000" w:themeColor="text1"/>
                <w:sz w:val="24"/>
                <w:szCs w:val="24"/>
                <w:lang w:val="ky-KG"/>
              </w:rPr>
              <w:t>4</w:t>
            </w:r>
            <w:r w:rsidRPr="001A00E5">
              <w:rPr>
                <w:rFonts w:ascii="Times New Roman UniToktom" w:hAnsi="Times New Roman UniToktom" w:cs="Times New Roman UniToktom"/>
                <w:color w:val="000000" w:themeColor="text1"/>
                <w:sz w:val="24"/>
                <w:szCs w:val="24"/>
                <w:lang w:val="ky-KG"/>
              </w:rPr>
              <w:t xml:space="preserve">-жылы салыктык эмес кирешелер </w:t>
            </w:r>
            <w:r w:rsidR="00EA284A" w:rsidRPr="001A00E5">
              <w:rPr>
                <w:rFonts w:ascii="Times New Roman UniToktom" w:hAnsi="Times New Roman UniToktom" w:cs="Times New Roman UniToktom"/>
                <w:color w:val="000000" w:themeColor="text1"/>
                <w:sz w:val="24"/>
                <w:szCs w:val="24"/>
                <w:lang w:val="ky-KG"/>
              </w:rPr>
              <w:t>27,6</w:t>
            </w:r>
            <w:r w:rsidRPr="001A00E5">
              <w:rPr>
                <w:rFonts w:ascii="Times New Roman UniToktom" w:hAnsi="Times New Roman UniToktom" w:cs="Times New Roman UniToktom"/>
                <w:color w:val="000000" w:themeColor="text1"/>
                <w:sz w:val="24"/>
                <w:szCs w:val="24"/>
                <w:lang w:val="ky-KG"/>
              </w:rPr>
              <w:t xml:space="preserve"> пайызды же </w:t>
            </w:r>
            <w:r w:rsidR="00EA284A" w:rsidRPr="001A00E5">
              <w:rPr>
                <w:rFonts w:ascii="Times New Roman UniToktom" w:hAnsi="Times New Roman UniToktom" w:cs="Times New Roman UniToktom"/>
                <w:color w:val="000000" w:themeColor="text1"/>
                <w:sz w:val="24"/>
                <w:szCs w:val="24"/>
                <w:lang w:val="ky-KG"/>
              </w:rPr>
              <w:t>2</w:t>
            </w:r>
            <w:r w:rsidR="00EB5EFD">
              <w:rPr>
                <w:rFonts w:ascii="Times New Roman UniToktom" w:hAnsi="Times New Roman UniToktom" w:cs="Times New Roman UniToktom"/>
                <w:color w:val="000000" w:themeColor="text1"/>
                <w:sz w:val="24"/>
                <w:szCs w:val="24"/>
                <w:lang w:val="ky-KG"/>
              </w:rPr>
              <w:t xml:space="preserve"> </w:t>
            </w:r>
            <w:r w:rsidR="00EA284A" w:rsidRPr="001A00E5">
              <w:rPr>
                <w:rFonts w:ascii="Times New Roman UniToktom" w:hAnsi="Times New Roman UniToktom" w:cs="Times New Roman UniToktom"/>
                <w:color w:val="000000" w:themeColor="text1"/>
                <w:sz w:val="24"/>
                <w:szCs w:val="24"/>
                <w:lang w:val="ky-KG"/>
              </w:rPr>
              <w:t>085,5</w:t>
            </w:r>
            <w:r w:rsidRPr="001A00E5">
              <w:rPr>
                <w:rFonts w:ascii="Times New Roman UniToktom" w:hAnsi="Times New Roman UniToktom" w:cs="Times New Roman UniToktom"/>
                <w:color w:val="000000" w:themeColor="text1"/>
                <w:sz w:val="24"/>
                <w:szCs w:val="24"/>
                <w:lang w:val="ky-KG"/>
              </w:rPr>
              <w:t xml:space="preserve"> млн. сомду түздү, ал эми 20</w:t>
            </w:r>
            <w:r w:rsidR="00EA284A" w:rsidRPr="001A00E5">
              <w:rPr>
                <w:rFonts w:ascii="Times New Roman UniToktom" w:hAnsi="Times New Roman UniToktom" w:cs="Times New Roman UniToktom"/>
                <w:color w:val="000000" w:themeColor="text1"/>
                <w:sz w:val="24"/>
                <w:szCs w:val="24"/>
                <w:lang w:val="ky-KG"/>
              </w:rPr>
              <w:t>20</w:t>
            </w:r>
            <w:r w:rsidRPr="001A00E5">
              <w:rPr>
                <w:rFonts w:ascii="Times New Roman UniToktom" w:hAnsi="Times New Roman UniToktom" w:cs="Times New Roman UniToktom"/>
                <w:color w:val="000000" w:themeColor="text1"/>
                <w:sz w:val="24"/>
                <w:szCs w:val="24"/>
                <w:lang w:val="ky-KG"/>
              </w:rPr>
              <w:t xml:space="preserve">-жылы </w:t>
            </w:r>
            <w:r w:rsidR="00EA284A" w:rsidRPr="001A00E5">
              <w:rPr>
                <w:rFonts w:ascii="Times New Roman UniToktom" w:hAnsi="Times New Roman UniToktom" w:cs="Times New Roman UniToktom"/>
                <w:color w:val="000000" w:themeColor="text1"/>
                <w:sz w:val="24"/>
                <w:szCs w:val="24"/>
                <w:lang w:val="ky-KG"/>
              </w:rPr>
              <w:t>16,5</w:t>
            </w:r>
            <w:r w:rsidRPr="001A00E5">
              <w:rPr>
                <w:rFonts w:ascii="Times New Roman UniToktom" w:hAnsi="Times New Roman UniToktom" w:cs="Times New Roman UniToktom"/>
                <w:color w:val="000000" w:themeColor="text1"/>
                <w:sz w:val="24"/>
                <w:szCs w:val="24"/>
                <w:lang w:val="ky-KG"/>
              </w:rPr>
              <w:t xml:space="preserve"> пайызды же </w:t>
            </w:r>
            <w:r w:rsidR="00EA284A" w:rsidRPr="001A00E5">
              <w:rPr>
                <w:rFonts w:ascii="Times New Roman UniToktom" w:hAnsi="Times New Roman UniToktom" w:cs="Times New Roman UniToktom"/>
                <w:color w:val="000000" w:themeColor="text1"/>
                <w:sz w:val="24"/>
                <w:szCs w:val="24"/>
                <w:lang w:val="ky-KG"/>
              </w:rPr>
              <w:t>425,0</w:t>
            </w:r>
            <w:r w:rsidRPr="001A00E5">
              <w:rPr>
                <w:rFonts w:ascii="Times New Roman UniToktom" w:hAnsi="Times New Roman UniToktom" w:cs="Times New Roman UniToktom"/>
                <w:color w:val="000000" w:themeColor="text1"/>
                <w:sz w:val="24"/>
                <w:szCs w:val="24"/>
                <w:lang w:val="ky-KG"/>
              </w:rPr>
              <w:t xml:space="preserve"> млн. сомду түзгөн.</w:t>
            </w:r>
          </w:p>
        </w:tc>
        <w:tc>
          <w:tcPr>
            <w:tcW w:w="4854" w:type="dxa"/>
          </w:tcPr>
          <w:p w14:paraId="09BB1927" w14:textId="3B33D8F0" w:rsidR="00CD09DA" w:rsidRPr="00C44EE6" w:rsidRDefault="00CD09DA" w:rsidP="00CD09DA">
            <w:pPr>
              <w:pStyle w:val="24"/>
              <w:jc w:val="both"/>
              <w:rPr>
                <w:rFonts w:ascii="Times New Roman UniToktom" w:hAnsi="Times New Roman UniToktom" w:cs="Times New Roman UniToktom"/>
                <w:i/>
                <w:color w:val="EE0000"/>
                <w:sz w:val="24"/>
                <w:szCs w:val="24"/>
              </w:rPr>
            </w:pPr>
            <w:r w:rsidRPr="00CE232F">
              <w:rPr>
                <w:rFonts w:ascii="Times New Roman UniToktom" w:hAnsi="Times New Roman UniToktom" w:cs="Times New Roman UniToktom"/>
                <w:i/>
                <w:sz w:val="24"/>
                <w:szCs w:val="24"/>
                <w:lang w:val="ky-KG"/>
              </w:rPr>
              <w:t xml:space="preserve">     </w:t>
            </w:r>
            <w:r w:rsidRPr="00CE232F">
              <w:rPr>
                <w:rFonts w:ascii="Times New Roman UniToktom" w:hAnsi="Times New Roman UniToktom" w:cs="Times New Roman UniToktom"/>
                <w:i/>
                <w:sz w:val="24"/>
                <w:szCs w:val="24"/>
              </w:rPr>
              <w:t>Неналоговые поступления в 20</w:t>
            </w:r>
            <w:r w:rsidRPr="00CE232F">
              <w:rPr>
                <w:rFonts w:ascii="Times New Roman UniToktom" w:hAnsi="Times New Roman UniToktom" w:cs="Times New Roman UniToktom"/>
                <w:i/>
                <w:sz w:val="24"/>
                <w:szCs w:val="24"/>
                <w:lang w:val="ky-KG"/>
              </w:rPr>
              <w:t>2</w:t>
            </w:r>
            <w:r w:rsidR="00CE232F" w:rsidRPr="00CE232F">
              <w:rPr>
                <w:rFonts w:ascii="Times New Roman UniToktom" w:hAnsi="Times New Roman UniToktom" w:cs="Times New Roman UniToktom"/>
                <w:i/>
                <w:sz w:val="24"/>
                <w:szCs w:val="24"/>
                <w:lang w:val="ky-KG"/>
              </w:rPr>
              <w:t>4</w:t>
            </w:r>
            <w:r w:rsidRPr="00CE232F">
              <w:rPr>
                <w:rFonts w:ascii="Times New Roman UniToktom" w:hAnsi="Times New Roman UniToktom" w:cs="Times New Roman UniToktom"/>
                <w:i/>
                <w:sz w:val="24"/>
                <w:szCs w:val="24"/>
              </w:rPr>
              <w:t xml:space="preserve">г.  составили </w:t>
            </w:r>
            <w:r w:rsidR="00CE232F" w:rsidRPr="00CE232F">
              <w:rPr>
                <w:rFonts w:ascii="Times New Roman UniToktom" w:hAnsi="Times New Roman UniToktom" w:cs="Times New Roman UniToktom"/>
                <w:i/>
                <w:sz w:val="24"/>
                <w:szCs w:val="24"/>
              </w:rPr>
              <w:t>2 085,5</w:t>
            </w:r>
            <w:r w:rsidRPr="00CE232F">
              <w:rPr>
                <w:rFonts w:ascii="Times New Roman UniToktom" w:hAnsi="Times New Roman UniToktom" w:cs="Times New Roman UniToktom"/>
                <w:i/>
                <w:sz w:val="24"/>
                <w:szCs w:val="24"/>
              </w:rPr>
              <w:t xml:space="preserve"> млн. сомов, их доля в доходах составила</w:t>
            </w:r>
            <w:r w:rsidRPr="00CE232F">
              <w:rPr>
                <w:rFonts w:ascii="Times New Roman UniToktom" w:hAnsi="Times New Roman UniToktom" w:cs="Times New Roman UniToktom"/>
                <w:i/>
                <w:sz w:val="24"/>
                <w:szCs w:val="24"/>
                <w:lang w:val="ky-KG"/>
              </w:rPr>
              <w:t xml:space="preserve"> </w:t>
            </w:r>
            <w:r w:rsidR="00CE232F" w:rsidRPr="00CE232F">
              <w:rPr>
                <w:rFonts w:ascii="Times New Roman UniToktom" w:hAnsi="Times New Roman UniToktom" w:cs="Times New Roman UniToktom"/>
                <w:i/>
                <w:sz w:val="24"/>
                <w:szCs w:val="24"/>
                <w:lang w:val="ky-KG"/>
              </w:rPr>
              <w:t>27,6</w:t>
            </w:r>
            <w:r w:rsidRPr="00CE232F">
              <w:rPr>
                <w:rFonts w:ascii="Times New Roman UniToktom" w:hAnsi="Times New Roman UniToktom" w:cs="Times New Roman UniToktom"/>
                <w:i/>
                <w:sz w:val="24"/>
                <w:szCs w:val="24"/>
                <w:lang w:val="ky-KG"/>
              </w:rPr>
              <w:t xml:space="preserve"> </w:t>
            </w:r>
            <w:r w:rsidRPr="00CE232F">
              <w:rPr>
                <w:rFonts w:ascii="Times New Roman UniToktom" w:hAnsi="Times New Roman UniToktom" w:cs="Times New Roman UniToktom"/>
                <w:i/>
                <w:sz w:val="24"/>
                <w:szCs w:val="24"/>
              </w:rPr>
              <w:t>процента, а в 20</w:t>
            </w:r>
            <w:r w:rsidR="00CE232F" w:rsidRPr="00CE232F">
              <w:rPr>
                <w:rFonts w:ascii="Times New Roman UniToktom" w:hAnsi="Times New Roman UniToktom" w:cs="Times New Roman UniToktom"/>
                <w:i/>
                <w:sz w:val="24"/>
                <w:szCs w:val="24"/>
              </w:rPr>
              <w:t>20</w:t>
            </w:r>
            <w:r w:rsidRPr="00CE232F">
              <w:rPr>
                <w:rFonts w:ascii="Times New Roman UniToktom" w:hAnsi="Times New Roman UniToktom" w:cs="Times New Roman UniToktom"/>
                <w:i/>
                <w:sz w:val="24"/>
                <w:szCs w:val="24"/>
                <w:lang w:val="ky-KG"/>
              </w:rPr>
              <w:t xml:space="preserve"> </w:t>
            </w:r>
            <w:r w:rsidRPr="00CE232F">
              <w:rPr>
                <w:rFonts w:ascii="Times New Roman UniToktom" w:hAnsi="Times New Roman UniToktom" w:cs="Times New Roman UniToktom"/>
                <w:i/>
                <w:sz w:val="24"/>
                <w:szCs w:val="24"/>
              </w:rPr>
              <w:t xml:space="preserve">году – </w:t>
            </w:r>
            <w:r w:rsidR="00CE232F" w:rsidRPr="00CE232F">
              <w:rPr>
                <w:rFonts w:ascii="Times New Roman UniToktom" w:hAnsi="Times New Roman UniToktom" w:cs="Times New Roman UniToktom"/>
                <w:i/>
                <w:sz w:val="24"/>
                <w:szCs w:val="24"/>
              </w:rPr>
              <w:t>425,0</w:t>
            </w:r>
            <w:r w:rsidRPr="00CE232F">
              <w:rPr>
                <w:rFonts w:ascii="Times New Roman UniToktom" w:hAnsi="Times New Roman UniToktom" w:cs="Times New Roman UniToktom"/>
                <w:i/>
                <w:sz w:val="24"/>
                <w:szCs w:val="24"/>
              </w:rPr>
              <w:t xml:space="preserve"> млн. сомов, </w:t>
            </w:r>
            <w:r w:rsidRPr="00CE232F">
              <w:rPr>
                <w:rFonts w:ascii="Times New Roman UniToktom" w:hAnsi="Times New Roman UniToktom" w:cs="Times New Roman UniToktom"/>
                <w:i/>
                <w:sz w:val="24"/>
                <w:szCs w:val="24"/>
                <w:lang w:val="ky-KG"/>
              </w:rPr>
              <w:t>(</w:t>
            </w:r>
            <w:r w:rsidR="00CE232F" w:rsidRPr="00CE232F">
              <w:rPr>
                <w:rFonts w:ascii="Times New Roman UniToktom" w:hAnsi="Times New Roman UniToktom" w:cs="Times New Roman UniToktom"/>
                <w:i/>
                <w:sz w:val="24"/>
                <w:szCs w:val="24"/>
                <w:lang w:val="ky-KG"/>
              </w:rPr>
              <w:t>16,5</w:t>
            </w:r>
            <w:r w:rsidRPr="00CE232F">
              <w:rPr>
                <w:rFonts w:ascii="Times New Roman UniToktom" w:hAnsi="Times New Roman UniToktom" w:cs="Times New Roman UniToktom"/>
                <w:i/>
                <w:sz w:val="24"/>
                <w:szCs w:val="24"/>
              </w:rPr>
              <w:t xml:space="preserve"> процента</w:t>
            </w:r>
            <w:r w:rsidRPr="00CE232F">
              <w:rPr>
                <w:rFonts w:ascii="Times New Roman UniToktom" w:hAnsi="Times New Roman UniToktom" w:cs="Times New Roman UniToktom"/>
                <w:i/>
                <w:sz w:val="24"/>
                <w:szCs w:val="24"/>
                <w:lang w:val="ky-KG"/>
              </w:rPr>
              <w:t>)</w:t>
            </w:r>
            <w:r w:rsidRPr="00CE232F">
              <w:rPr>
                <w:rFonts w:ascii="Times New Roman UniToktom" w:hAnsi="Times New Roman UniToktom" w:cs="Times New Roman UniToktom"/>
                <w:i/>
                <w:sz w:val="24"/>
                <w:szCs w:val="24"/>
              </w:rPr>
              <w:t>.</w:t>
            </w:r>
          </w:p>
        </w:tc>
      </w:tr>
      <w:tr w:rsidR="00CD09DA" w:rsidRPr="00947ABD" w14:paraId="5B591B23" w14:textId="77777777" w:rsidTr="00372228">
        <w:tc>
          <w:tcPr>
            <w:tcW w:w="4785" w:type="dxa"/>
          </w:tcPr>
          <w:p w14:paraId="20C54A40" w14:textId="21CE378B" w:rsidR="00CD09DA" w:rsidRPr="001A00E5" w:rsidRDefault="00CD09DA" w:rsidP="00CD09DA">
            <w:pPr>
              <w:pStyle w:val="1"/>
              <w:jc w:val="both"/>
              <w:rPr>
                <w:rFonts w:ascii="Times New Roman UniToktom" w:hAnsi="Times New Roman UniToktom" w:cs="Times New Roman UniToktom"/>
                <w:color w:val="000000" w:themeColor="text1"/>
                <w:sz w:val="24"/>
                <w:lang w:val="ky-KG"/>
              </w:rPr>
            </w:pPr>
            <w:r w:rsidRPr="001A00E5">
              <w:rPr>
                <w:rFonts w:ascii="Times New Roman UniToktom" w:hAnsi="Times New Roman UniToktom" w:cs="Times New Roman UniToktom"/>
                <w:color w:val="000000" w:themeColor="text1"/>
                <w:sz w:val="24"/>
                <w:lang w:val="ky-KG"/>
              </w:rPr>
              <w:t xml:space="preserve">      Анын ичинен </w:t>
            </w:r>
            <w:proofErr w:type="spellStart"/>
            <w:r w:rsidRPr="001A00E5">
              <w:rPr>
                <w:rFonts w:ascii="Times New Roman UniToktom" w:hAnsi="Times New Roman UniToktom" w:cs="Times New Roman UniToktom"/>
                <w:color w:val="000000" w:themeColor="text1"/>
                <w:sz w:val="24"/>
              </w:rPr>
              <w:t>менчиктен</w:t>
            </w:r>
            <w:proofErr w:type="spellEnd"/>
            <w:r w:rsidRPr="001A00E5">
              <w:rPr>
                <w:rFonts w:ascii="Times New Roman UniToktom" w:hAnsi="Times New Roman UniToktom" w:cs="Times New Roman UniToktom"/>
                <w:color w:val="000000" w:themeColor="text1"/>
                <w:sz w:val="24"/>
              </w:rPr>
              <w:t xml:space="preserve"> т</w:t>
            </w:r>
            <w:r w:rsidRPr="001A00E5">
              <w:rPr>
                <w:rFonts w:ascii="Times New Roman UniToktom" w:hAnsi="Times New Roman UniToktom" w:cs="Times New Roman UniToktom"/>
                <w:color w:val="000000" w:themeColor="text1"/>
                <w:sz w:val="24"/>
                <w:lang w:val="ky-KG"/>
              </w:rPr>
              <w:t>ү</w:t>
            </w:r>
            <w:proofErr w:type="spellStart"/>
            <w:r w:rsidRPr="001A00E5">
              <w:rPr>
                <w:rFonts w:ascii="Times New Roman UniToktom" w:hAnsi="Times New Roman UniToktom" w:cs="Times New Roman UniToktom"/>
                <w:color w:val="000000" w:themeColor="text1"/>
                <w:sz w:val="24"/>
              </w:rPr>
              <w:t>шкөн</w:t>
            </w:r>
            <w:proofErr w:type="spellEnd"/>
            <w:r w:rsidRPr="001A00E5">
              <w:rPr>
                <w:rFonts w:ascii="Times New Roman UniToktom" w:hAnsi="Times New Roman UniToktom" w:cs="Times New Roman UniToktom"/>
                <w:color w:val="000000" w:themeColor="text1"/>
                <w:sz w:val="24"/>
                <w:lang w:val="ky-KG"/>
              </w:rPr>
              <w:t xml:space="preserve"> киреше 33</w:t>
            </w:r>
            <w:r w:rsidR="00EA284A" w:rsidRPr="001A00E5">
              <w:rPr>
                <w:rFonts w:ascii="Times New Roman UniToktom" w:hAnsi="Times New Roman UniToktom" w:cs="Times New Roman UniToktom"/>
                <w:color w:val="000000" w:themeColor="text1"/>
                <w:sz w:val="24"/>
                <w:lang w:val="ky-KG"/>
              </w:rPr>
              <w:t>6</w:t>
            </w:r>
            <w:r w:rsidRPr="001A00E5">
              <w:rPr>
                <w:rFonts w:ascii="Times New Roman UniToktom" w:hAnsi="Times New Roman UniToktom" w:cs="Times New Roman UniToktom"/>
                <w:color w:val="000000" w:themeColor="text1"/>
                <w:sz w:val="24"/>
                <w:lang w:val="ky-KG"/>
              </w:rPr>
              <w:t>,</w:t>
            </w:r>
            <w:r w:rsidR="00EA284A" w:rsidRPr="001A00E5">
              <w:rPr>
                <w:rFonts w:ascii="Times New Roman UniToktom" w:hAnsi="Times New Roman UniToktom" w:cs="Times New Roman UniToktom"/>
                <w:color w:val="000000" w:themeColor="text1"/>
                <w:sz w:val="24"/>
                <w:lang w:val="ky-KG"/>
              </w:rPr>
              <w:t>6</w:t>
            </w:r>
            <w:r w:rsidRPr="001A00E5">
              <w:rPr>
                <w:rFonts w:ascii="Times New Roman UniToktom" w:hAnsi="Times New Roman UniToktom" w:cs="Times New Roman UniToktom"/>
                <w:color w:val="000000" w:themeColor="text1"/>
                <w:sz w:val="24"/>
                <w:lang w:val="ky-KG"/>
              </w:rPr>
              <w:t xml:space="preserve"> млн. сом болуп же </w:t>
            </w:r>
            <w:r w:rsidR="00EA284A" w:rsidRPr="001A00E5">
              <w:rPr>
                <w:rFonts w:ascii="Times New Roman UniToktom" w:hAnsi="Times New Roman UniToktom" w:cs="Times New Roman UniToktom"/>
                <w:color w:val="000000" w:themeColor="text1"/>
                <w:sz w:val="24"/>
                <w:lang w:val="ky-KG"/>
              </w:rPr>
              <w:t>16,1</w:t>
            </w:r>
            <w:r w:rsidRPr="001A00E5">
              <w:rPr>
                <w:rFonts w:ascii="Times New Roman UniToktom" w:hAnsi="Times New Roman UniToktom" w:cs="Times New Roman UniToktom"/>
                <w:color w:val="000000" w:themeColor="text1"/>
                <w:sz w:val="24"/>
                <w:lang w:val="ky-KG"/>
              </w:rPr>
              <w:t xml:space="preserve"> пайызды түздү. 202</w:t>
            </w:r>
            <w:r w:rsidR="00EA284A" w:rsidRPr="001A00E5">
              <w:rPr>
                <w:rFonts w:ascii="Times New Roman UniToktom" w:hAnsi="Times New Roman UniToktom" w:cs="Times New Roman UniToktom"/>
                <w:color w:val="000000" w:themeColor="text1"/>
                <w:sz w:val="24"/>
                <w:lang w:val="ky-KG"/>
              </w:rPr>
              <w:t>4</w:t>
            </w:r>
            <w:r w:rsidRPr="001A00E5">
              <w:rPr>
                <w:rFonts w:ascii="Times New Roman UniToktom" w:hAnsi="Times New Roman UniToktom" w:cs="Times New Roman UniToktom"/>
                <w:color w:val="000000" w:themeColor="text1"/>
                <w:sz w:val="24"/>
                <w:lang w:val="ky-KG"/>
              </w:rPr>
              <w:t>-жылы жергиликтүү бюджетин кирешелеринде расмий трансферттер 202</w:t>
            </w:r>
            <w:r w:rsidR="00EA284A" w:rsidRPr="001A00E5">
              <w:rPr>
                <w:rFonts w:ascii="Times New Roman UniToktom" w:hAnsi="Times New Roman UniToktom" w:cs="Times New Roman UniToktom"/>
                <w:color w:val="000000" w:themeColor="text1"/>
                <w:sz w:val="24"/>
                <w:lang w:val="ky-KG"/>
              </w:rPr>
              <w:t>3</w:t>
            </w:r>
            <w:r w:rsidRPr="001A00E5">
              <w:rPr>
                <w:rFonts w:ascii="Times New Roman UniToktom" w:hAnsi="Times New Roman UniToktom" w:cs="Times New Roman UniToktom"/>
                <w:color w:val="000000" w:themeColor="text1"/>
                <w:sz w:val="24"/>
                <w:lang w:val="ky-KG"/>
              </w:rPr>
              <w:t>-жылдын ушул  мезгилине салыштыр</w:t>
            </w:r>
            <w:r w:rsidR="00EA284A" w:rsidRPr="001A00E5">
              <w:rPr>
                <w:rFonts w:ascii="Times New Roman UniToktom" w:hAnsi="Times New Roman UniToktom" w:cs="Times New Roman UniToktom"/>
                <w:color w:val="000000" w:themeColor="text1"/>
                <w:sz w:val="24"/>
                <w:lang w:val="ky-KG"/>
              </w:rPr>
              <w:t>малуу</w:t>
            </w:r>
            <w:r w:rsidRPr="001A00E5">
              <w:rPr>
                <w:rFonts w:ascii="Times New Roman UniToktom" w:hAnsi="Times New Roman UniToktom" w:cs="Times New Roman UniToktom"/>
                <w:color w:val="000000" w:themeColor="text1"/>
                <w:sz w:val="24"/>
                <w:lang w:val="ky-KG"/>
              </w:rPr>
              <w:t xml:space="preserve"> </w:t>
            </w:r>
            <w:r w:rsidR="00EA284A" w:rsidRPr="001A00E5">
              <w:rPr>
                <w:rFonts w:ascii="Times New Roman UniToktom" w:hAnsi="Times New Roman UniToktom" w:cs="Times New Roman UniToktom"/>
                <w:color w:val="000000" w:themeColor="text1"/>
                <w:sz w:val="24"/>
                <w:lang w:val="ky-KG"/>
              </w:rPr>
              <w:t>18,8</w:t>
            </w:r>
            <w:r w:rsidR="00BC1097" w:rsidRPr="001A00E5">
              <w:rPr>
                <w:rFonts w:ascii="Times New Roman UniToktom" w:hAnsi="Times New Roman UniToktom" w:cs="Times New Roman UniToktom"/>
                <w:color w:val="000000" w:themeColor="text1"/>
                <w:sz w:val="24"/>
                <w:lang w:val="ky-KG"/>
              </w:rPr>
              <w:t xml:space="preserve"> </w:t>
            </w:r>
            <w:r w:rsidR="00EA284A" w:rsidRPr="001A00E5">
              <w:rPr>
                <w:rFonts w:ascii="Times New Roman UniToktom" w:hAnsi="Times New Roman UniToktom" w:cs="Times New Roman UniToktom"/>
                <w:color w:val="000000" w:themeColor="text1"/>
                <w:sz w:val="24"/>
                <w:lang w:val="ky-KG"/>
              </w:rPr>
              <w:t>пайызга</w:t>
            </w:r>
            <w:r w:rsidRPr="001A00E5">
              <w:rPr>
                <w:rFonts w:ascii="Times New Roman UniToktom" w:hAnsi="Times New Roman UniToktom" w:cs="Times New Roman UniToktom"/>
                <w:color w:val="000000" w:themeColor="text1"/>
                <w:sz w:val="24"/>
                <w:lang w:val="ky-KG"/>
              </w:rPr>
              <w:t xml:space="preserve"> </w:t>
            </w:r>
            <w:r w:rsidR="00BC1097" w:rsidRPr="001A00E5">
              <w:rPr>
                <w:rFonts w:ascii="Times New Roman UniToktom" w:hAnsi="Times New Roman UniToktom" w:cs="Times New Roman UniToktom"/>
                <w:color w:val="000000" w:themeColor="text1"/>
                <w:sz w:val="24"/>
                <w:lang w:val="ky-KG"/>
              </w:rPr>
              <w:t xml:space="preserve"> (же </w:t>
            </w:r>
            <w:r w:rsidR="00EA284A" w:rsidRPr="001A00E5">
              <w:rPr>
                <w:rFonts w:ascii="Times New Roman UniToktom" w:hAnsi="Times New Roman UniToktom" w:cs="Times New Roman UniToktom"/>
                <w:color w:val="000000" w:themeColor="text1"/>
                <w:sz w:val="24"/>
                <w:lang w:val="ky-KG"/>
              </w:rPr>
              <w:t>-477,7</w:t>
            </w:r>
            <w:r w:rsidR="00BC1097" w:rsidRPr="001A00E5">
              <w:rPr>
                <w:rFonts w:ascii="Times New Roman UniToktom" w:hAnsi="Times New Roman UniToktom" w:cs="Times New Roman UniToktom"/>
                <w:color w:val="000000" w:themeColor="text1"/>
                <w:sz w:val="24"/>
                <w:lang w:val="ky-KG"/>
              </w:rPr>
              <w:t xml:space="preserve"> млн сомго)</w:t>
            </w:r>
            <w:r w:rsidR="00EA284A" w:rsidRPr="001A00E5">
              <w:rPr>
                <w:rFonts w:ascii="Times New Roman UniToktom" w:hAnsi="Times New Roman UniToktom" w:cs="Times New Roman UniToktom"/>
                <w:color w:val="000000" w:themeColor="text1"/>
                <w:sz w:val="24"/>
                <w:lang w:val="ky-KG"/>
              </w:rPr>
              <w:t xml:space="preserve"> азайган</w:t>
            </w:r>
            <w:r w:rsidR="00595213" w:rsidRPr="001A00E5">
              <w:rPr>
                <w:rFonts w:ascii="Times New Roman UniToktom" w:hAnsi="Times New Roman UniToktom" w:cs="Times New Roman UniToktom"/>
                <w:color w:val="000000" w:themeColor="text1"/>
                <w:sz w:val="24"/>
                <w:lang w:val="ky-KG"/>
              </w:rPr>
              <w:t xml:space="preserve"> </w:t>
            </w:r>
            <w:r w:rsidRPr="001A00E5">
              <w:rPr>
                <w:rFonts w:ascii="Times New Roman UniToktom" w:hAnsi="Times New Roman UniToktom" w:cs="Times New Roman UniToktom"/>
                <w:color w:val="000000" w:themeColor="text1"/>
                <w:sz w:val="24"/>
                <w:lang w:val="ky-KG"/>
              </w:rPr>
              <w:t xml:space="preserve"> </w:t>
            </w:r>
            <w:r w:rsidR="00C10B67" w:rsidRPr="001A00E5">
              <w:rPr>
                <w:rFonts w:ascii="Times New Roman UniToktom" w:hAnsi="Times New Roman UniToktom" w:cs="Times New Roman UniToktom"/>
                <w:color w:val="000000" w:themeColor="text1"/>
                <w:sz w:val="24"/>
                <w:lang w:val="ky-KG"/>
              </w:rPr>
              <w:t xml:space="preserve">жана </w:t>
            </w:r>
            <w:r w:rsidRPr="001A00E5">
              <w:rPr>
                <w:rFonts w:ascii="Times New Roman UniToktom" w:hAnsi="Times New Roman UniToktom" w:cs="Times New Roman UniToktom"/>
                <w:color w:val="000000" w:themeColor="text1"/>
                <w:sz w:val="24"/>
                <w:lang w:val="ky-KG"/>
              </w:rPr>
              <w:t>2</w:t>
            </w:r>
            <w:r w:rsidR="00EB5EFD">
              <w:rPr>
                <w:rFonts w:ascii="Times New Roman UniToktom" w:hAnsi="Times New Roman UniToktom" w:cs="Times New Roman UniToktom"/>
                <w:color w:val="000000" w:themeColor="text1"/>
                <w:sz w:val="24"/>
                <w:lang w:val="ky-KG"/>
              </w:rPr>
              <w:t xml:space="preserve"> </w:t>
            </w:r>
            <w:r w:rsidR="00595213" w:rsidRPr="001A00E5">
              <w:rPr>
                <w:rFonts w:ascii="Times New Roman UniToktom" w:hAnsi="Times New Roman UniToktom" w:cs="Times New Roman UniToktom"/>
                <w:color w:val="000000" w:themeColor="text1"/>
                <w:sz w:val="24"/>
                <w:lang w:val="ky-KG"/>
              </w:rPr>
              <w:t>050,5</w:t>
            </w:r>
            <w:r w:rsidRPr="001A00E5">
              <w:rPr>
                <w:rFonts w:ascii="Times New Roman UniToktom" w:hAnsi="Times New Roman UniToktom" w:cs="Times New Roman UniToktom"/>
                <w:color w:val="000000" w:themeColor="text1"/>
                <w:sz w:val="24"/>
                <w:lang w:val="ky-KG"/>
              </w:rPr>
              <w:t xml:space="preserve"> млн. сомду түздү жана алардын үлүшү </w:t>
            </w:r>
            <w:r w:rsidR="00595213" w:rsidRPr="001A00E5">
              <w:rPr>
                <w:rFonts w:ascii="Times New Roman UniToktom" w:hAnsi="Times New Roman UniToktom" w:cs="Times New Roman UniToktom"/>
                <w:color w:val="000000" w:themeColor="text1"/>
                <w:sz w:val="24"/>
                <w:lang w:val="ky-KG"/>
              </w:rPr>
              <w:t>27,1</w:t>
            </w:r>
            <w:r w:rsidRPr="001A00E5">
              <w:rPr>
                <w:rFonts w:ascii="Times New Roman UniToktom" w:hAnsi="Times New Roman UniToktom" w:cs="Times New Roman UniToktom"/>
                <w:color w:val="000000" w:themeColor="text1"/>
                <w:sz w:val="24"/>
                <w:lang w:val="ky-KG"/>
              </w:rPr>
              <w:t xml:space="preserve"> пайызын түздү (202</w:t>
            </w:r>
            <w:r w:rsidR="00595213" w:rsidRPr="001A00E5">
              <w:rPr>
                <w:rFonts w:ascii="Times New Roman UniToktom" w:hAnsi="Times New Roman UniToktom" w:cs="Times New Roman UniToktom"/>
                <w:color w:val="000000" w:themeColor="text1"/>
                <w:sz w:val="24"/>
                <w:lang w:val="ky-KG"/>
              </w:rPr>
              <w:t>3</w:t>
            </w:r>
            <w:r w:rsidRPr="001A00E5">
              <w:rPr>
                <w:rFonts w:ascii="Times New Roman UniToktom" w:hAnsi="Times New Roman UniToktom" w:cs="Times New Roman UniToktom"/>
                <w:color w:val="000000" w:themeColor="text1"/>
                <w:sz w:val="24"/>
                <w:lang w:val="ky-KG"/>
              </w:rPr>
              <w:t xml:space="preserve">-жылы </w:t>
            </w:r>
            <w:r w:rsidR="00595213" w:rsidRPr="001A00E5">
              <w:rPr>
                <w:rFonts w:ascii="Times New Roman UniToktom" w:hAnsi="Times New Roman UniToktom" w:cs="Times New Roman UniToktom"/>
                <w:color w:val="000000" w:themeColor="text1"/>
                <w:sz w:val="24"/>
                <w:lang w:val="ky-KG"/>
              </w:rPr>
              <w:t>38,2</w:t>
            </w:r>
            <w:r w:rsidRPr="001A00E5">
              <w:rPr>
                <w:rFonts w:ascii="Times New Roman UniToktom" w:hAnsi="Times New Roman UniToktom" w:cs="Times New Roman UniToktom"/>
                <w:color w:val="000000" w:themeColor="text1"/>
                <w:sz w:val="24"/>
                <w:lang w:val="ky-KG"/>
              </w:rPr>
              <w:t xml:space="preserve"> пайызды түзгөн). Ал эми 20</w:t>
            </w:r>
            <w:r w:rsidR="00595213" w:rsidRPr="001A00E5">
              <w:rPr>
                <w:rFonts w:ascii="Times New Roman UniToktom" w:hAnsi="Times New Roman UniToktom" w:cs="Times New Roman UniToktom"/>
                <w:color w:val="000000" w:themeColor="text1"/>
                <w:sz w:val="24"/>
                <w:lang w:val="ky-KG"/>
              </w:rPr>
              <w:t>20</w:t>
            </w:r>
            <w:r w:rsidRPr="001A00E5">
              <w:rPr>
                <w:rFonts w:ascii="Times New Roman UniToktom" w:hAnsi="Times New Roman UniToktom" w:cs="Times New Roman UniToktom"/>
                <w:color w:val="000000" w:themeColor="text1"/>
                <w:sz w:val="24"/>
                <w:lang w:val="ky-KG"/>
              </w:rPr>
              <w:t>-жылга салыштырмалуу  4</w:t>
            </w:r>
            <w:r w:rsidR="00C10B67" w:rsidRPr="001A00E5">
              <w:rPr>
                <w:rFonts w:ascii="Times New Roman UniToktom" w:hAnsi="Times New Roman UniToktom" w:cs="Times New Roman UniToktom"/>
                <w:color w:val="000000" w:themeColor="text1"/>
                <w:sz w:val="24"/>
                <w:lang w:val="ky-KG"/>
              </w:rPr>
              <w:t>,</w:t>
            </w:r>
            <w:r w:rsidR="00595213" w:rsidRPr="001A00E5">
              <w:rPr>
                <w:rFonts w:ascii="Times New Roman UniToktom" w:hAnsi="Times New Roman UniToktom" w:cs="Times New Roman UniToktom"/>
                <w:color w:val="000000" w:themeColor="text1"/>
                <w:sz w:val="24"/>
                <w:lang w:val="ky-KG"/>
              </w:rPr>
              <w:t>2</w:t>
            </w:r>
            <w:r w:rsidRPr="001A00E5">
              <w:rPr>
                <w:rFonts w:ascii="Times New Roman UniToktom" w:hAnsi="Times New Roman UniToktom" w:cs="Times New Roman UniToktom"/>
                <w:color w:val="000000" w:themeColor="text1"/>
                <w:sz w:val="24"/>
                <w:lang w:val="ky-KG"/>
              </w:rPr>
              <w:t xml:space="preserve"> эсеге</w:t>
            </w:r>
            <w:r w:rsidR="00C10B67" w:rsidRPr="001A00E5">
              <w:rPr>
                <w:rFonts w:ascii="Times New Roman UniToktom" w:hAnsi="Times New Roman UniToktom" w:cs="Times New Roman UniToktom"/>
                <w:color w:val="000000" w:themeColor="text1"/>
                <w:sz w:val="24"/>
                <w:lang w:val="ky-KG"/>
              </w:rPr>
              <w:t>,</w:t>
            </w:r>
            <w:r w:rsidRPr="001A00E5">
              <w:rPr>
                <w:rFonts w:ascii="Times New Roman UniToktom" w:hAnsi="Times New Roman UniToktom" w:cs="Times New Roman UniToktom"/>
                <w:color w:val="000000" w:themeColor="text1"/>
                <w:sz w:val="24"/>
                <w:lang w:val="ky-KG"/>
              </w:rPr>
              <w:t xml:space="preserve">   же 1</w:t>
            </w:r>
            <w:r w:rsidR="00EB5EFD">
              <w:rPr>
                <w:rFonts w:ascii="Times New Roman UniToktom" w:hAnsi="Times New Roman UniToktom" w:cs="Times New Roman UniToktom"/>
                <w:color w:val="000000" w:themeColor="text1"/>
                <w:sz w:val="24"/>
                <w:lang w:val="ky-KG"/>
              </w:rPr>
              <w:t xml:space="preserve"> </w:t>
            </w:r>
            <w:r w:rsidR="00595213" w:rsidRPr="001A00E5">
              <w:rPr>
                <w:rFonts w:ascii="Times New Roman UniToktom" w:hAnsi="Times New Roman UniToktom" w:cs="Times New Roman UniToktom"/>
                <w:color w:val="000000" w:themeColor="text1"/>
                <w:sz w:val="24"/>
                <w:lang w:val="ky-KG"/>
              </w:rPr>
              <w:t>571</w:t>
            </w:r>
            <w:r w:rsidRPr="001A00E5">
              <w:rPr>
                <w:rFonts w:ascii="Times New Roman UniToktom" w:hAnsi="Times New Roman UniToktom" w:cs="Times New Roman UniToktom"/>
                <w:color w:val="000000" w:themeColor="text1"/>
                <w:sz w:val="24"/>
                <w:lang w:val="ky-KG"/>
              </w:rPr>
              <w:t>,1 млн. сомго көбөйгөн  (20</w:t>
            </w:r>
            <w:r w:rsidR="00595213" w:rsidRPr="001A00E5">
              <w:rPr>
                <w:rFonts w:ascii="Times New Roman UniToktom" w:hAnsi="Times New Roman UniToktom" w:cs="Times New Roman UniToktom"/>
                <w:color w:val="000000" w:themeColor="text1"/>
                <w:sz w:val="24"/>
                <w:lang w:val="ky-KG"/>
              </w:rPr>
              <w:t>20</w:t>
            </w:r>
            <w:r w:rsidRPr="001A00E5">
              <w:rPr>
                <w:rFonts w:ascii="Times New Roman UniToktom" w:hAnsi="Times New Roman UniToktom" w:cs="Times New Roman UniToktom"/>
                <w:color w:val="000000" w:themeColor="text1"/>
                <w:sz w:val="24"/>
                <w:lang w:val="ky-KG"/>
              </w:rPr>
              <w:t xml:space="preserve">-жылы </w:t>
            </w:r>
            <w:r w:rsidR="00595213" w:rsidRPr="001A00E5">
              <w:rPr>
                <w:rFonts w:ascii="Times New Roman UniToktom" w:hAnsi="Times New Roman UniToktom" w:cs="Times New Roman UniToktom"/>
                <w:color w:val="000000" w:themeColor="text1"/>
                <w:sz w:val="24"/>
                <w:lang w:val="ky-KG"/>
              </w:rPr>
              <w:t>18,6</w:t>
            </w:r>
            <w:r w:rsidRPr="001A00E5">
              <w:rPr>
                <w:rFonts w:ascii="Times New Roman UniToktom" w:hAnsi="Times New Roman UniToktom" w:cs="Times New Roman UniToktom"/>
                <w:color w:val="000000" w:themeColor="text1"/>
                <w:sz w:val="24"/>
                <w:lang w:val="ky-KG"/>
              </w:rPr>
              <w:t xml:space="preserve"> пайыз</w:t>
            </w:r>
            <w:r w:rsidR="00C10B67" w:rsidRPr="001A00E5">
              <w:rPr>
                <w:rFonts w:ascii="Times New Roman UniToktom" w:hAnsi="Times New Roman UniToktom" w:cs="Times New Roman UniToktom"/>
                <w:color w:val="000000" w:themeColor="text1"/>
                <w:sz w:val="24"/>
                <w:lang w:val="ky-KG"/>
              </w:rPr>
              <w:t>ды</w:t>
            </w:r>
            <w:r w:rsidRPr="001A00E5">
              <w:rPr>
                <w:rFonts w:ascii="Times New Roman UniToktom" w:hAnsi="Times New Roman UniToktom" w:cs="Times New Roman UniToktom"/>
                <w:color w:val="000000" w:themeColor="text1"/>
                <w:sz w:val="24"/>
                <w:lang w:val="ky-KG"/>
              </w:rPr>
              <w:t xml:space="preserve"> түзгөн).</w:t>
            </w:r>
          </w:p>
        </w:tc>
        <w:tc>
          <w:tcPr>
            <w:tcW w:w="4854" w:type="dxa"/>
          </w:tcPr>
          <w:p w14:paraId="4BBE3737" w14:textId="4DF1BC40" w:rsidR="00CD09DA" w:rsidRPr="00207B18" w:rsidRDefault="00CD09DA" w:rsidP="00CD09DA">
            <w:pPr>
              <w:pStyle w:val="24"/>
              <w:jc w:val="both"/>
              <w:rPr>
                <w:rFonts w:ascii="Times New Roman UniToktom" w:hAnsi="Times New Roman UniToktom" w:cs="Times New Roman UniToktom"/>
                <w:i/>
                <w:sz w:val="24"/>
                <w:szCs w:val="24"/>
              </w:rPr>
            </w:pPr>
            <w:r w:rsidRPr="00207B18">
              <w:rPr>
                <w:i/>
                <w:sz w:val="24"/>
                <w:szCs w:val="24"/>
                <w:lang w:val="ky-KG"/>
              </w:rPr>
              <w:t xml:space="preserve">    В том числе,</w:t>
            </w:r>
            <w:r w:rsidRPr="00207B18">
              <w:t xml:space="preserve"> </w:t>
            </w:r>
            <w:r w:rsidRPr="00207B18">
              <w:rPr>
                <w:lang w:val="ky-KG"/>
              </w:rPr>
              <w:t>д</w:t>
            </w:r>
            <w:r w:rsidRPr="00207B18">
              <w:rPr>
                <w:i/>
                <w:sz w:val="24"/>
                <w:szCs w:val="24"/>
                <w:lang w:val="ky-KG"/>
              </w:rPr>
              <w:t xml:space="preserve">оходы от собственности и проценты </w:t>
            </w:r>
            <w:r w:rsidRPr="00207B18">
              <w:rPr>
                <w:i/>
                <w:sz w:val="24"/>
                <w:szCs w:val="24"/>
              </w:rPr>
              <w:t>составили</w:t>
            </w:r>
            <w:r w:rsidRPr="00207B18">
              <w:rPr>
                <w:i/>
                <w:sz w:val="24"/>
                <w:szCs w:val="24"/>
                <w:lang w:val="ky-KG"/>
              </w:rPr>
              <w:t xml:space="preserve"> </w:t>
            </w:r>
            <w:r w:rsidRPr="00207B18">
              <w:rPr>
                <w:i/>
                <w:sz w:val="24"/>
                <w:szCs w:val="24"/>
              </w:rPr>
              <w:t>3</w:t>
            </w:r>
            <w:r w:rsidRPr="00207B18">
              <w:rPr>
                <w:i/>
                <w:sz w:val="24"/>
                <w:szCs w:val="24"/>
                <w:lang w:val="ky-KG"/>
              </w:rPr>
              <w:t>3</w:t>
            </w:r>
            <w:r w:rsidR="00CE232F" w:rsidRPr="00207B18">
              <w:rPr>
                <w:i/>
                <w:sz w:val="24"/>
                <w:szCs w:val="24"/>
                <w:lang w:val="ky-KG"/>
              </w:rPr>
              <w:t>6,6</w:t>
            </w:r>
            <w:r w:rsidRPr="00207B18">
              <w:rPr>
                <w:i/>
                <w:sz w:val="24"/>
                <w:szCs w:val="24"/>
                <w:lang w:val="ky-KG"/>
              </w:rPr>
              <w:t xml:space="preserve"> </w:t>
            </w:r>
            <w:r w:rsidRPr="00207B18">
              <w:rPr>
                <w:i/>
                <w:sz w:val="24"/>
                <w:szCs w:val="24"/>
              </w:rPr>
              <w:t xml:space="preserve">млн. сомов или </w:t>
            </w:r>
            <w:r w:rsidR="00CE232F" w:rsidRPr="00207B18">
              <w:rPr>
                <w:i/>
                <w:sz w:val="24"/>
                <w:szCs w:val="24"/>
              </w:rPr>
              <w:t>16,1</w:t>
            </w:r>
            <w:r w:rsidRPr="00207B18">
              <w:rPr>
                <w:i/>
                <w:sz w:val="24"/>
                <w:szCs w:val="24"/>
              </w:rPr>
              <w:t xml:space="preserve"> процент</w:t>
            </w:r>
            <w:r w:rsidRPr="00207B18">
              <w:rPr>
                <w:i/>
                <w:sz w:val="24"/>
                <w:szCs w:val="24"/>
                <w:lang w:val="ky-KG"/>
              </w:rPr>
              <w:t>а</w:t>
            </w:r>
            <w:r w:rsidRPr="00207B18">
              <w:rPr>
                <w:i/>
                <w:sz w:val="24"/>
                <w:szCs w:val="24"/>
              </w:rPr>
              <w:t xml:space="preserve"> от неналоговых доходов. В доходах местного бюджета </w:t>
            </w:r>
            <w:r w:rsidRPr="00207B18">
              <w:rPr>
                <w:i/>
                <w:sz w:val="24"/>
                <w:szCs w:val="24"/>
                <w:lang w:val="ky-KG"/>
              </w:rPr>
              <w:t>в 202</w:t>
            </w:r>
            <w:r w:rsidR="00CE232F" w:rsidRPr="00207B18">
              <w:rPr>
                <w:i/>
                <w:sz w:val="24"/>
                <w:szCs w:val="24"/>
                <w:lang w:val="ky-KG"/>
              </w:rPr>
              <w:t>4</w:t>
            </w:r>
            <w:r w:rsidRPr="00207B18">
              <w:rPr>
                <w:i/>
                <w:sz w:val="24"/>
                <w:szCs w:val="24"/>
                <w:lang w:val="ky-KG"/>
              </w:rPr>
              <w:t xml:space="preserve"> году поступление </w:t>
            </w:r>
            <w:r w:rsidRPr="00207B18">
              <w:rPr>
                <w:i/>
                <w:sz w:val="24"/>
                <w:szCs w:val="24"/>
              </w:rPr>
              <w:t>официальны</w:t>
            </w:r>
            <w:r w:rsidRPr="00207B18">
              <w:rPr>
                <w:i/>
                <w:sz w:val="24"/>
                <w:szCs w:val="24"/>
                <w:lang w:val="ky-KG"/>
              </w:rPr>
              <w:t>х</w:t>
            </w:r>
            <w:r w:rsidRPr="00207B18">
              <w:rPr>
                <w:i/>
                <w:sz w:val="24"/>
                <w:szCs w:val="24"/>
              </w:rPr>
              <w:t xml:space="preserve"> трансферт</w:t>
            </w:r>
            <w:r w:rsidRPr="00207B18">
              <w:rPr>
                <w:i/>
                <w:sz w:val="24"/>
                <w:szCs w:val="24"/>
                <w:lang w:val="ky-KG"/>
              </w:rPr>
              <w:t>ов по сравнении с прошлым годом аналогичного периода у</w:t>
            </w:r>
            <w:r w:rsidR="00CE232F" w:rsidRPr="00207B18">
              <w:rPr>
                <w:i/>
                <w:sz w:val="24"/>
                <w:szCs w:val="24"/>
                <w:lang w:val="ky-KG"/>
              </w:rPr>
              <w:t>м</w:t>
            </w:r>
            <w:r w:rsidRPr="00207B18">
              <w:rPr>
                <w:i/>
                <w:sz w:val="24"/>
                <w:szCs w:val="24"/>
                <w:lang w:val="ky-KG"/>
              </w:rPr>
              <w:t>е</w:t>
            </w:r>
            <w:r w:rsidR="00CE232F" w:rsidRPr="00207B18">
              <w:rPr>
                <w:i/>
                <w:sz w:val="24"/>
                <w:szCs w:val="24"/>
                <w:lang w:val="ky-KG"/>
              </w:rPr>
              <w:t>нш</w:t>
            </w:r>
            <w:r w:rsidRPr="00207B18">
              <w:rPr>
                <w:i/>
                <w:sz w:val="24"/>
                <w:szCs w:val="24"/>
                <w:lang w:val="ky-KG"/>
              </w:rPr>
              <w:t xml:space="preserve">илась </w:t>
            </w:r>
            <w:r w:rsidR="00CE232F" w:rsidRPr="00207B18">
              <w:rPr>
                <w:i/>
                <w:sz w:val="24"/>
                <w:szCs w:val="24"/>
                <w:lang w:val="ky-KG"/>
              </w:rPr>
              <w:t>на</w:t>
            </w:r>
            <w:r w:rsidRPr="00207B18">
              <w:rPr>
                <w:i/>
                <w:sz w:val="24"/>
                <w:szCs w:val="24"/>
                <w:lang w:val="ky-KG"/>
              </w:rPr>
              <w:t xml:space="preserve"> </w:t>
            </w:r>
            <w:r w:rsidR="00CE232F" w:rsidRPr="00207B18">
              <w:rPr>
                <w:i/>
                <w:sz w:val="24"/>
                <w:szCs w:val="24"/>
                <w:lang w:val="ky-KG"/>
              </w:rPr>
              <w:t>18,8 процента</w:t>
            </w:r>
            <w:r w:rsidRPr="00207B18">
              <w:rPr>
                <w:i/>
                <w:sz w:val="24"/>
                <w:szCs w:val="24"/>
                <w:lang w:val="ky-KG"/>
              </w:rPr>
              <w:t xml:space="preserve"> (на </w:t>
            </w:r>
            <w:r w:rsidR="00CE232F" w:rsidRPr="00207B18">
              <w:rPr>
                <w:i/>
                <w:sz w:val="24"/>
                <w:szCs w:val="24"/>
                <w:lang w:val="ky-KG"/>
              </w:rPr>
              <w:t>-477,7</w:t>
            </w:r>
            <w:r w:rsidRPr="00207B18">
              <w:rPr>
                <w:i/>
                <w:sz w:val="24"/>
                <w:szCs w:val="24"/>
                <w:lang w:val="ky-KG"/>
              </w:rPr>
              <w:t xml:space="preserve"> млн. сомов) и составила 2</w:t>
            </w:r>
            <w:r w:rsidR="00CE232F" w:rsidRPr="00207B18">
              <w:rPr>
                <w:i/>
                <w:sz w:val="24"/>
                <w:szCs w:val="24"/>
                <w:lang w:val="ky-KG"/>
              </w:rPr>
              <w:t> 050,5</w:t>
            </w:r>
            <w:r w:rsidRPr="00207B18">
              <w:rPr>
                <w:i/>
                <w:sz w:val="24"/>
                <w:szCs w:val="24"/>
                <w:lang w:val="ky-KG"/>
              </w:rPr>
              <w:t xml:space="preserve"> млн. сомов, и</w:t>
            </w:r>
            <w:r w:rsidRPr="00207B18">
              <w:rPr>
                <w:i/>
                <w:sz w:val="24"/>
                <w:szCs w:val="24"/>
              </w:rPr>
              <w:t xml:space="preserve"> </w:t>
            </w:r>
            <w:r w:rsidRPr="00207B18">
              <w:rPr>
                <w:i/>
                <w:sz w:val="24"/>
                <w:szCs w:val="24"/>
                <w:lang w:val="ky-KG"/>
              </w:rPr>
              <w:t xml:space="preserve">их </w:t>
            </w:r>
            <w:r w:rsidRPr="00207B18">
              <w:rPr>
                <w:i/>
                <w:sz w:val="24"/>
                <w:szCs w:val="24"/>
              </w:rPr>
              <w:t xml:space="preserve">доля в общем объеме составила </w:t>
            </w:r>
            <w:r w:rsidR="00CE232F" w:rsidRPr="00207B18">
              <w:rPr>
                <w:i/>
                <w:sz w:val="24"/>
                <w:szCs w:val="24"/>
              </w:rPr>
              <w:t>27,1</w:t>
            </w:r>
            <w:r w:rsidRPr="00207B18">
              <w:rPr>
                <w:i/>
                <w:sz w:val="24"/>
                <w:szCs w:val="24"/>
                <w:lang w:val="ky-KG"/>
              </w:rPr>
              <w:t xml:space="preserve"> </w:t>
            </w:r>
            <w:r w:rsidRPr="00207B18">
              <w:rPr>
                <w:i/>
                <w:sz w:val="24"/>
                <w:szCs w:val="24"/>
              </w:rPr>
              <w:t xml:space="preserve">процента (в </w:t>
            </w:r>
            <w:r w:rsidRPr="00207B18">
              <w:rPr>
                <w:i/>
                <w:sz w:val="24"/>
                <w:szCs w:val="24"/>
                <w:lang w:val="ky-KG"/>
              </w:rPr>
              <w:t>202</w:t>
            </w:r>
            <w:r w:rsidR="00CE232F" w:rsidRPr="00207B18">
              <w:rPr>
                <w:i/>
                <w:sz w:val="24"/>
                <w:szCs w:val="24"/>
                <w:lang w:val="ky-KG"/>
              </w:rPr>
              <w:t>3</w:t>
            </w:r>
            <w:r w:rsidRPr="00207B18">
              <w:rPr>
                <w:i/>
                <w:sz w:val="24"/>
                <w:szCs w:val="24"/>
                <w:lang w:val="ky-KG"/>
              </w:rPr>
              <w:t xml:space="preserve">-году – </w:t>
            </w:r>
            <w:r w:rsidR="00CE232F" w:rsidRPr="00207B18">
              <w:rPr>
                <w:i/>
                <w:sz w:val="24"/>
                <w:szCs w:val="24"/>
                <w:lang w:val="ky-KG"/>
              </w:rPr>
              <w:t>38,2</w:t>
            </w:r>
            <w:r w:rsidRPr="00207B18">
              <w:rPr>
                <w:i/>
                <w:sz w:val="24"/>
                <w:szCs w:val="24"/>
                <w:lang w:val="ky-KG"/>
              </w:rPr>
              <w:t xml:space="preserve"> </w:t>
            </w:r>
            <w:r w:rsidRPr="00207B18">
              <w:rPr>
                <w:i/>
                <w:sz w:val="24"/>
                <w:szCs w:val="24"/>
              </w:rPr>
              <w:t>процента).</w:t>
            </w:r>
            <w:r w:rsidRPr="00207B18">
              <w:rPr>
                <w:i/>
                <w:sz w:val="24"/>
                <w:szCs w:val="24"/>
                <w:lang w:val="ky-KG"/>
              </w:rPr>
              <w:t xml:space="preserve"> </w:t>
            </w:r>
            <w:r w:rsidRPr="00207B18">
              <w:rPr>
                <w:i/>
                <w:sz w:val="24"/>
              </w:rPr>
              <w:t>По сравнению с 20</w:t>
            </w:r>
            <w:r w:rsidR="00CE232F" w:rsidRPr="00207B18">
              <w:rPr>
                <w:i/>
                <w:sz w:val="24"/>
              </w:rPr>
              <w:t>20</w:t>
            </w:r>
            <w:r w:rsidRPr="00207B18">
              <w:rPr>
                <w:i/>
                <w:sz w:val="24"/>
              </w:rPr>
              <w:t xml:space="preserve"> годом, </w:t>
            </w:r>
            <w:r w:rsidRPr="00207B18">
              <w:rPr>
                <w:i/>
                <w:sz w:val="24"/>
                <w:lang w:val="ky-KG"/>
              </w:rPr>
              <w:t>эти</w:t>
            </w:r>
            <w:r w:rsidRPr="00207B18">
              <w:rPr>
                <w:i/>
                <w:sz w:val="24"/>
              </w:rPr>
              <w:t xml:space="preserve"> поступления</w:t>
            </w:r>
            <w:r w:rsidRPr="00207B18">
              <w:rPr>
                <w:i/>
                <w:sz w:val="24"/>
                <w:lang w:val="ky-KG"/>
              </w:rPr>
              <w:t xml:space="preserve"> возросли в</w:t>
            </w:r>
            <w:r w:rsidRPr="00207B18">
              <w:rPr>
                <w:i/>
                <w:sz w:val="24"/>
              </w:rPr>
              <w:t xml:space="preserve"> </w:t>
            </w:r>
            <w:r w:rsidRPr="00207B18">
              <w:rPr>
                <w:i/>
                <w:sz w:val="24"/>
                <w:lang w:val="ky-KG"/>
              </w:rPr>
              <w:t>4,</w:t>
            </w:r>
            <w:r w:rsidR="00CE232F" w:rsidRPr="00207B18">
              <w:rPr>
                <w:i/>
                <w:sz w:val="24"/>
                <w:lang w:val="ky-KG"/>
              </w:rPr>
              <w:t>2</w:t>
            </w:r>
            <w:r w:rsidRPr="00207B18">
              <w:rPr>
                <w:i/>
                <w:sz w:val="24"/>
                <w:lang w:val="ky-KG"/>
              </w:rPr>
              <w:t xml:space="preserve"> раза </w:t>
            </w:r>
            <w:r w:rsidRPr="00207B18">
              <w:rPr>
                <w:i/>
                <w:sz w:val="24"/>
              </w:rPr>
              <w:t>или</w:t>
            </w:r>
            <w:r w:rsidRPr="00207B18">
              <w:rPr>
                <w:i/>
                <w:sz w:val="24"/>
                <w:lang w:val="ky-KG"/>
              </w:rPr>
              <w:t xml:space="preserve"> на 1</w:t>
            </w:r>
            <w:r w:rsidR="00CE232F" w:rsidRPr="00207B18">
              <w:rPr>
                <w:i/>
                <w:sz w:val="24"/>
                <w:szCs w:val="24"/>
                <w:lang w:val="ky-KG"/>
              </w:rPr>
              <w:t> 571,1</w:t>
            </w:r>
            <w:r w:rsidRPr="00207B18">
              <w:rPr>
                <w:i/>
                <w:sz w:val="24"/>
              </w:rPr>
              <w:t xml:space="preserve"> млн. сомов.</w:t>
            </w:r>
            <w:r w:rsidRPr="00207B18">
              <w:rPr>
                <w:i/>
                <w:sz w:val="24"/>
                <w:lang w:val="ky-KG"/>
              </w:rPr>
              <w:t xml:space="preserve"> </w:t>
            </w:r>
            <w:r w:rsidRPr="00207B18">
              <w:rPr>
                <w:i/>
                <w:sz w:val="24"/>
              </w:rPr>
              <w:t>(</w:t>
            </w:r>
            <w:r w:rsidRPr="00207B18">
              <w:rPr>
                <w:i/>
                <w:sz w:val="24"/>
                <w:lang w:val="ky-KG"/>
              </w:rPr>
              <w:t>в 20</w:t>
            </w:r>
            <w:r w:rsidR="00CE232F" w:rsidRPr="00207B18">
              <w:rPr>
                <w:i/>
                <w:sz w:val="24"/>
                <w:lang w:val="ky-KG"/>
              </w:rPr>
              <w:t>20</w:t>
            </w:r>
            <w:r w:rsidRPr="00207B18">
              <w:rPr>
                <w:i/>
                <w:sz w:val="24"/>
                <w:lang w:val="ky-KG"/>
              </w:rPr>
              <w:t xml:space="preserve">г. их доля </w:t>
            </w:r>
            <w:r w:rsidRPr="00207B18">
              <w:rPr>
                <w:i/>
                <w:sz w:val="24"/>
              </w:rPr>
              <w:t>составил</w:t>
            </w:r>
            <w:r w:rsidRPr="00207B18">
              <w:rPr>
                <w:i/>
                <w:sz w:val="24"/>
                <w:lang w:val="ky-KG"/>
              </w:rPr>
              <w:t>а</w:t>
            </w:r>
            <w:r w:rsidRPr="00207B18">
              <w:rPr>
                <w:i/>
                <w:sz w:val="24"/>
              </w:rPr>
              <w:t xml:space="preserve"> </w:t>
            </w:r>
            <w:r w:rsidR="00CE232F" w:rsidRPr="00207B18">
              <w:rPr>
                <w:i/>
                <w:sz w:val="24"/>
              </w:rPr>
              <w:t>18,</w:t>
            </w:r>
            <w:proofErr w:type="gramStart"/>
            <w:r w:rsidR="00CE232F" w:rsidRPr="00207B18">
              <w:rPr>
                <w:i/>
                <w:sz w:val="24"/>
              </w:rPr>
              <w:t xml:space="preserve">6 </w:t>
            </w:r>
            <w:r w:rsidRPr="00207B18">
              <w:rPr>
                <w:i/>
                <w:sz w:val="24"/>
              </w:rPr>
              <w:t xml:space="preserve"> процент</w:t>
            </w:r>
            <w:r w:rsidRPr="00207B18">
              <w:rPr>
                <w:i/>
                <w:sz w:val="24"/>
                <w:lang w:val="ky-KG"/>
              </w:rPr>
              <w:t>а</w:t>
            </w:r>
            <w:proofErr w:type="gramEnd"/>
            <w:r w:rsidRPr="00207B18">
              <w:rPr>
                <w:i/>
                <w:sz w:val="24"/>
              </w:rPr>
              <w:t>)</w:t>
            </w:r>
            <w:r w:rsidRPr="00207B18">
              <w:rPr>
                <w:i/>
                <w:sz w:val="24"/>
                <w:lang w:val="ky-KG"/>
              </w:rPr>
              <w:t>.</w:t>
            </w:r>
            <w:r w:rsidRPr="00207B18">
              <w:rPr>
                <w:i/>
                <w:sz w:val="24"/>
              </w:rPr>
              <w:t xml:space="preserve"> </w:t>
            </w:r>
          </w:p>
        </w:tc>
      </w:tr>
      <w:tr w:rsidR="00CD09DA" w:rsidRPr="00947ABD" w14:paraId="7ECB7035" w14:textId="77777777" w:rsidTr="00372228">
        <w:tc>
          <w:tcPr>
            <w:tcW w:w="4785" w:type="dxa"/>
          </w:tcPr>
          <w:p w14:paraId="0472E59C" w14:textId="21492B8A" w:rsidR="00CD09DA" w:rsidRPr="001A00E5" w:rsidRDefault="00CD09DA" w:rsidP="00CD09DA">
            <w:pPr>
              <w:pStyle w:val="13"/>
              <w:ind w:firstLine="720"/>
              <w:jc w:val="both"/>
              <w:rPr>
                <w:rFonts w:ascii="Times New Roman UniToktom" w:hAnsi="Times New Roman UniToktom" w:cs="Times New Roman UniToktom"/>
                <w:color w:val="000000" w:themeColor="text1"/>
                <w:sz w:val="24"/>
                <w:szCs w:val="24"/>
                <w:lang w:val="ky-KG"/>
              </w:rPr>
            </w:pPr>
            <w:r w:rsidRPr="001A00E5">
              <w:rPr>
                <w:rFonts w:ascii="Times New Roman UniToktom" w:hAnsi="Times New Roman UniToktom" w:cs="Times New Roman UniToktom"/>
                <w:color w:val="000000" w:themeColor="text1"/>
                <w:sz w:val="24"/>
                <w:szCs w:val="24"/>
                <w:lang w:val="ky-KG"/>
              </w:rPr>
              <w:t>Жергиликтүү бюджеттин чыгаша бөлүгү 202</w:t>
            </w:r>
            <w:r w:rsidR="005D4A79" w:rsidRPr="001A00E5">
              <w:rPr>
                <w:rFonts w:ascii="Times New Roman UniToktom" w:hAnsi="Times New Roman UniToktom" w:cs="Times New Roman UniToktom"/>
                <w:color w:val="000000" w:themeColor="text1"/>
                <w:sz w:val="24"/>
                <w:szCs w:val="24"/>
                <w:lang w:val="ky-KG"/>
              </w:rPr>
              <w:t>4</w:t>
            </w:r>
            <w:r w:rsidRPr="001A00E5">
              <w:rPr>
                <w:rFonts w:ascii="Times New Roman UniToktom" w:hAnsi="Times New Roman UniToktom" w:cs="Times New Roman UniToktom"/>
                <w:color w:val="000000" w:themeColor="text1"/>
                <w:sz w:val="24"/>
                <w:szCs w:val="24"/>
                <w:lang w:val="ky-KG"/>
              </w:rPr>
              <w:t>-жылы (</w:t>
            </w:r>
            <w:r w:rsidRPr="001A00E5">
              <w:rPr>
                <w:color w:val="000000" w:themeColor="text1"/>
                <w:sz w:val="24"/>
                <w:lang w:val="ky-KG"/>
              </w:rPr>
              <w:t>финансылык эмес активдерди сатып алууга кеткен чыгымдар кошкондо</w:t>
            </w:r>
            <w:r w:rsidRPr="001A00E5">
              <w:rPr>
                <w:color w:val="000000" w:themeColor="text1"/>
                <w:sz w:val="24"/>
                <w:szCs w:val="24"/>
                <w:lang w:val="ky-KG"/>
              </w:rPr>
              <w:t>)</w:t>
            </w:r>
            <w:r w:rsidRPr="001A00E5">
              <w:rPr>
                <w:rFonts w:ascii="Times New Roman UniToktom" w:hAnsi="Times New Roman UniToktom" w:cs="Times New Roman UniToktom"/>
                <w:color w:val="000000" w:themeColor="text1"/>
                <w:sz w:val="24"/>
                <w:szCs w:val="24"/>
                <w:lang w:val="ky-KG"/>
              </w:rPr>
              <w:t xml:space="preserve">  </w:t>
            </w:r>
            <w:r w:rsidR="005D4A79" w:rsidRPr="001A00E5">
              <w:rPr>
                <w:rFonts w:ascii="Times New Roman UniToktom" w:hAnsi="Times New Roman UniToktom" w:cs="Times New Roman UniToktom"/>
                <w:color w:val="000000" w:themeColor="text1"/>
                <w:sz w:val="24"/>
                <w:szCs w:val="24"/>
                <w:lang w:val="ky-KG"/>
              </w:rPr>
              <w:t>7</w:t>
            </w:r>
            <w:r w:rsidR="00CE232F">
              <w:rPr>
                <w:rFonts w:ascii="Times New Roman UniToktom" w:hAnsi="Times New Roman UniToktom" w:cs="Times New Roman UniToktom"/>
                <w:color w:val="000000" w:themeColor="text1"/>
                <w:sz w:val="24"/>
                <w:szCs w:val="24"/>
                <w:lang w:val="ky-KG"/>
              </w:rPr>
              <w:t xml:space="preserve"> </w:t>
            </w:r>
            <w:r w:rsidR="005D4A79" w:rsidRPr="001A00E5">
              <w:rPr>
                <w:rFonts w:ascii="Times New Roman UniToktom" w:hAnsi="Times New Roman UniToktom" w:cs="Times New Roman UniToktom"/>
                <w:color w:val="000000" w:themeColor="text1"/>
                <w:sz w:val="24"/>
                <w:szCs w:val="24"/>
                <w:lang w:val="ky-KG"/>
              </w:rPr>
              <w:t>397,6</w:t>
            </w:r>
            <w:r w:rsidRPr="001A00E5">
              <w:rPr>
                <w:rFonts w:ascii="Times New Roman UniToktom" w:hAnsi="Times New Roman UniToktom" w:cs="Times New Roman UniToktom"/>
                <w:color w:val="000000" w:themeColor="text1"/>
                <w:sz w:val="24"/>
                <w:szCs w:val="24"/>
                <w:lang w:val="ky-KG"/>
              </w:rPr>
              <w:t xml:space="preserve"> млн. сомду түздү, анын ичинен операциялык ишмердикти жүргүзүүгө кеткен чыгымдар </w:t>
            </w:r>
            <w:r w:rsidR="005D4A79" w:rsidRPr="001A00E5">
              <w:rPr>
                <w:rFonts w:ascii="Times New Roman UniToktom" w:hAnsi="Times New Roman UniToktom" w:cs="Times New Roman UniToktom"/>
                <w:color w:val="000000" w:themeColor="text1"/>
                <w:sz w:val="24"/>
                <w:szCs w:val="24"/>
                <w:lang w:val="ky-KG"/>
              </w:rPr>
              <w:t>49,8</w:t>
            </w:r>
            <w:r w:rsidRPr="001A00E5">
              <w:rPr>
                <w:rFonts w:ascii="Times New Roman UniToktom" w:hAnsi="Times New Roman UniToktom" w:cs="Times New Roman UniToktom"/>
                <w:color w:val="000000" w:themeColor="text1"/>
                <w:sz w:val="24"/>
                <w:szCs w:val="24"/>
                <w:lang w:val="ky-KG"/>
              </w:rPr>
              <w:t xml:space="preserve"> пайызды түзгөн же </w:t>
            </w:r>
            <w:r w:rsidR="005D4A79" w:rsidRPr="001A00E5">
              <w:rPr>
                <w:rFonts w:ascii="Times New Roman UniToktom" w:hAnsi="Times New Roman UniToktom" w:cs="Times New Roman UniToktom"/>
                <w:color w:val="000000" w:themeColor="text1"/>
                <w:sz w:val="24"/>
                <w:szCs w:val="24"/>
                <w:lang w:val="ky-KG"/>
              </w:rPr>
              <w:t>3</w:t>
            </w:r>
            <w:r w:rsidR="00EB5EFD">
              <w:rPr>
                <w:rFonts w:ascii="Times New Roman UniToktom" w:hAnsi="Times New Roman UniToktom" w:cs="Times New Roman UniToktom"/>
                <w:color w:val="000000" w:themeColor="text1"/>
                <w:sz w:val="24"/>
                <w:szCs w:val="24"/>
                <w:lang w:val="ky-KG"/>
              </w:rPr>
              <w:t xml:space="preserve"> </w:t>
            </w:r>
            <w:r w:rsidR="005D4A79" w:rsidRPr="001A00E5">
              <w:rPr>
                <w:rFonts w:ascii="Times New Roman UniToktom" w:hAnsi="Times New Roman UniToktom" w:cs="Times New Roman UniToktom"/>
                <w:color w:val="000000" w:themeColor="text1"/>
                <w:sz w:val="24"/>
                <w:szCs w:val="24"/>
                <w:lang w:val="ky-KG"/>
              </w:rPr>
              <w:t>687,9</w:t>
            </w:r>
            <w:r w:rsidRPr="001A00E5">
              <w:rPr>
                <w:rFonts w:ascii="Times New Roman UniToktom" w:hAnsi="Times New Roman UniToktom" w:cs="Times New Roman UniToktom"/>
                <w:color w:val="000000" w:themeColor="text1"/>
                <w:sz w:val="24"/>
                <w:szCs w:val="24"/>
                <w:lang w:val="ky-KG"/>
              </w:rPr>
              <w:t xml:space="preserve"> млн. сом болду.</w:t>
            </w:r>
          </w:p>
        </w:tc>
        <w:tc>
          <w:tcPr>
            <w:tcW w:w="4854" w:type="dxa"/>
          </w:tcPr>
          <w:p w14:paraId="46DF479F" w14:textId="0A5110A5" w:rsidR="00CD09DA" w:rsidRPr="00207B18" w:rsidRDefault="00CD09DA" w:rsidP="00CD09DA">
            <w:pPr>
              <w:pStyle w:val="24"/>
              <w:ind w:firstLine="720"/>
              <w:jc w:val="both"/>
              <w:rPr>
                <w:rFonts w:ascii="Times New Roman UniToktom" w:hAnsi="Times New Roman UniToktom" w:cs="Times New Roman UniToktom"/>
                <w:i/>
                <w:sz w:val="24"/>
                <w:szCs w:val="24"/>
              </w:rPr>
            </w:pPr>
            <w:r w:rsidRPr="00207B18">
              <w:rPr>
                <w:rFonts w:ascii="Times New Roman UniToktom" w:hAnsi="Times New Roman UniToktom" w:cs="Times New Roman UniToktom"/>
                <w:i/>
                <w:sz w:val="24"/>
                <w:szCs w:val="24"/>
              </w:rPr>
              <w:t>Расходная часть местного бюджета в 202</w:t>
            </w:r>
            <w:r w:rsidR="00CE232F" w:rsidRPr="00207B18">
              <w:rPr>
                <w:rFonts w:ascii="Times New Roman UniToktom" w:hAnsi="Times New Roman UniToktom" w:cs="Times New Roman UniToktom"/>
                <w:i/>
                <w:sz w:val="24"/>
                <w:szCs w:val="24"/>
              </w:rPr>
              <w:t>4</w:t>
            </w:r>
            <w:r w:rsidRPr="00207B18">
              <w:rPr>
                <w:rFonts w:ascii="Times New Roman UniToktom" w:hAnsi="Times New Roman UniToktom" w:cs="Times New Roman UniToktom"/>
                <w:i/>
                <w:sz w:val="24"/>
                <w:szCs w:val="24"/>
              </w:rPr>
              <w:t xml:space="preserve"> году </w:t>
            </w:r>
            <w:r w:rsidRPr="00207B18">
              <w:rPr>
                <w:i/>
                <w:sz w:val="24"/>
              </w:rPr>
              <w:t xml:space="preserve">(включая </w:t>
            </w:r>
            <w:r w:rsidRPr="00207B18">
              <w:rPr>
                <w:i/>
                <w:sz w:val="24"/>
                <w:lang w:val="ky-KG"/>
              </w:rPr>
              <w:t>расходы на приобретение н</w:t>
            </w:r>
            <w:proofErr w:type="spellStart"/>
            <w:r w:rsidRPr="00207B18">
              <w:rPr>
                <w:i/>
                <w:sz w:val="24"/>
              </w:rPr>
              <w:t>ефинансовых</w:t>
            </w:r>
            <w:proofErr w:type="spellEnd"/>
            <w:r w:rsidRPr="00207B18">
              <w:rPr>
                <w:i/>
                <w:sz w:val="24"/>
              </w:rPr>
              <w:t xml:space="preserve"> активов), </w:t>
            </w:r>
            <w:r w:rsidRPr="00207B18">
              <w:rPr>
                <w:rFonts w:ascii="Times New Roman UniToktom" w:hAnsi="Times New Roman UniToktom" w:cs="Times New Roman UniToktom"/>
                <w:i/>
                <w:sz w:val="24"/>
                <w:szCs w:val="24"/>
              </w:rPr>
              <w:t xml:space="preserve">исполнена в объеме </w:t>
            </w:r>
            <w:r w:rsidR="00CE232F" w:rsidRPr="00207B18">
              <w:rPr>
                <w:rFonts w:ascii="Times New Roman UniToktom" w:hAnsi="Times New Roman UniToktom" w:cs="Times New Roman UniToktom"/>
                <w:i/>
                <w:sz w:val="24"/>
                <w:szCs w:val="24"/>
              </w:rPr>
              <w:t>7 397,6</w:t>
            </w:r>
            <w:r w:rsidRPr="00207B18">
              <w:rPr>
                <w:rFonts w:ascii="Times New Roman UniToktom" w:hAnsi="Times New Roman UniToktom" w:cs="Times New Roman UniToktom"/>
                <w:i/>
                <w:sz w:val="24"/>
                <w:szCs w:val="24"/>
                <w:lang w:val="ky-KG"/>
              </w:rPr>
              <w:t xml:space="preserve"> млн.</w:t>
            </w:r>
            <w:r w:rsidRPr="00207B18">
              <w:rPr>
                <w:rFonts w:ascii="Times New Roman UniToktom" w:hAnsi="Times New Roman UniToktom" w:cs="Times New Roman UniToktom"/>
                <w:i/>
                <w:sz w:val="24"/>
                <w:szCs w:val="24"/>
              </w:rPr>
              <w:t xml:space="preserve"> сомов, из них расходы </w:t>
            </w:r>
            <w:r w:rsidRPr="00207B18">
              <w:rPr>
                <w:rFonts w:ascii="Times New Roman UniToktom" w:hAnsi="Times New Roman UniToktom" w:cs="Times New Roman UniToktom"/>
                <w:i/>
                <w:sz w:val="24"/>
                <w:szCs w:val="24"/>
                <w:lang w:val="ky-KG"/>
              </w:rPr>
              <w:t>для проведения</w:t>
            </w:r>
            <w:r w:rsidRPr="00207B18">
              <w:rPr>
                <w:rFonts w:ascii="Times New Roman UniToktom" w:hAnsi="Times New Roman UniToktom" w:cs="Times New Roman UniToktom"/>
                <w:i/>
                <w:sz w:val="24"/>
                <w:szCs w:val="24"/>
              </w:rPr>
              <w:t xml:space="preserve"> операционной деятельности</w:t>
            </w:r>
            <w:r w:rsidRPr="00207B18">
              <w:rPr>
                <w:rFonts w:ascii="Times New Roman UniToktom" w:hAnsi="Times New Roman UniToktom" w:cs="Times New Roman UniToktom"/>
                <w:i/>
                <w:sz w:val="24"/>
                <w:szCs w:val="24"/>
                <w:lang w:val="ky-KG"/>
              </w:rPr>
              <w:t xml:space="preserve"> составили</w:t>
            </w:r>
            <w:r w:rsidRPr="00207B18">
              <w:rPr>
                <w:rFonts w:ascii="Times New Roman UniToktom" w:hAnsi="Times New Roman UniToktom" w:cs="Times New Roman UniToktom"/>
                <w:i/>
                <w:sz w:val="24"/>
                <w:szCs w:val="24"/>
              </w:rPr>
              <w:t xml:space="preserve"> </w:t>
            </w:r>
            <w:r w:rsidRPr="00207B18">
              <w:rPr>
                <w:rFonts w:ascii="Times New Roman UniToktom" w:hAnsi="Times New Roman UniToktom" w:cs="Times New Roman UniToktom"/>
                <w:i/>
                <w:sz w:val="24"/>
                <w:szCs w:val="24"/>
                <w:lang w:val="ky-KG"/>
              </w:rPr>
              <w:t>3</w:t>
            </w:r>
            <w:r w:rsidR="00EB5EFD" w:rsidRPr="00207B18">
              <w:rPr>
                <w:i/>
                <w:sz w:val="24"/>
                <w:szCs w:val="24"/>
                <w:lang w:val="ky-KG"/>
              </w:rPr>
              <w:t> 687,9</w:t>
            </w:r>
            <w:r w:rsidRPr="00207B18">
              <w:rPr>
                <w:rFonts w:ascii="Times New Roman UniToktom" w:hAnsi="Times New Roman UniToktom" w:cs="Times New Roman UniToktom"/>
                <w:i/>
                <w:sz w:val="24"/>
                <w:szCs w:val="24"/>
                <w:lang w:val="ky-KG"/>
              </w:rPr>
              <w:t xml:space="preserve"> млн. </w:t>
            </w:r>
            <w:r w:rsidRPr="00207B18">
              <w:rPr>
                <w:rFonts w:ascii="Times New Roman UniToktom" w:hAnsi="Times New Roman UniToktom" w:cs="Times New Roman UniToktom"/>
                <w:i/>
                <w:sz w:val="24"/>
                <w:szCs w:val="24"/>
              </w:rPr>
              <w:t xml:space="preserve">сомов или </w:t>
            </w:r>
            <w:r w:rsidR="00EB5EFD" w:rsidRPr="00207B18">
              <w:rPr>
                <w:rFonts w:ascii="Times New Roman UniToktom" w:hAnsi="Times New Roman UniToktom" w:cs="Times New Roman UniToktom"/>
                <w:i/>
                <w:sz w:val="24"/>
                <w:szCs w:val="24"/>
              </w:rPr>
              <w:t>49,8</w:t>
            </w:r>
            <w:r w:rsidRPr="00207B18">
              <w:rPr>
                <w:rFonts w:ascii="Times New Roman UniToktom" w:hAnsi="Times New Roman UniToktom" w:cs="Times New Roman UniToktom"/>
                <w:i/>
                <w:sz w:val="24"/>
                <w:szCs w:val="24"/>
                <w:lang w:val="ky-KG"/>
              </w:rPr>
              <w:t xml:space="preserve"> </w:t>
            </w:r>
            <w:r w:rsidRPr="00207B18">
              <w:rPr>
                <w:rFonts w:ascii="Times New Roman UniToktom" w:hAnsi="Times New Roman UniToktom" w:cs="Times New Roman UniToktom"/>
                <w:i/>
                <w:sz w:val="24"/>
                <w:szCs w:val="24"/>
              </w:rPr>
              <w:t>процента.</w:t>
            </w:r>
          </w:p>
        </w:tc>
      </w:tr>
      <w:tr w:rsidR="00CD09DA" w:rsidRPr="00947ABD" w14:paraId="73EF8FA3" w14:textId="77777777" w:rsidTr="00372228">
        <w:tc>
          <w:tcPr>
            <w:tcW w:w="4785" w:type="dxa"/>
          </w:tcPr>
          <w:p w14:paraId="5D9C8C1A" w14:textId="7F3594F3" w:rsidR="00CD09DA" w:rsidRPr="001A00E5" w:rsidRDefault="00CD09DA" w:rsidP="00CD09DA">
            <w:pPr>
              <w:pStyle w:val="13"/>
              <w:jc w:val="both"/>
              <w:rPr>
                <w:rFonts w:ascii="Times New Roman UniToktom" w:hAnsi="Times New Roman UniToktom" w:cs="Times New Roman UniToktom"/>
                <w:color w:val="000000" w:themeColor="text1"/>
                <w:sz w:val="24"/>
                <w:szCs w:val="24"/>
                <w:lang w:val="ky-KG"/>
              </w:rPr>
            </w:pPr>
            <w:r w:rsidRPr="001A00E5">
              <w:rPr>
                <w:rFonts w:ascii="Times New Roman UniToktom" w:hAnsi="Times New Roman UniToktom" w:cs="Times New Roman UniToktom"/>
                <w:color w:val="000000" w:themeColor="text1"/>
                <w:sz w:val="24"/>
                <w:szCs w:val="24"/>
                <w:lang w:val="ky-KG"/>
              </w:rPr>
              <w:t xml:space="preserve">     Жергиликтүү бюджеттин чыгаша бөлүгүн 202</w:t>
            </w:r>
            <w:r w:rsidR="005D4A79" w:rsidRPr="001A00E5">
              <w:rPr>
                <w:rFonts w:ascii="Times New Roman UniToktom" w:hAnsi="Times New Roman UniToktom" w:cs="Times New Roman UniToktom"/>
                <w:color w:val="000000" w:themeColor="text1"/>
                <w:sz w:val="24"/>
                <w:szCs w:val="24"/>
                <w:lang w:val="ky-KG"/>
              </w:rPr>
              <w:t>4</w:t>
            </w:r>
            <w:r w:rsidRPr="001A00E5">
              <w:rPr>
                <w:rFonts w:ascii="Times New Roman UniToktom" w:hAnsi="Times New Roman UniToktom" w:cs="Times New Roman UniToktom"/>
                <w:color w:val="000000" w:themeColor="text1"/>
                <w:sz w:val="24"/>
                <w:szCs w:val="24"/>
                <w:lang w:val="ky-KG"/>
              </w:rPr>
              <w:t>-жылды 20</w:t>
            </w:r>
            <w:r w:rsidR="005D4A79" w:rsidRPr="001A00E5">
              <w:rPr>
                <w:rFonts w:ascii="Times New Roman UniToktom" w:hAnsi="Times New Roman UniToktom" w:cs="Times New Roman UniToktom"/>
                <w:color w:val="000000" w:themeColor="text1"/>
                <w:sz w:val="24"/>
                <w:szCs w:val="24"/>
                <w:lang w:val="ky-KG"/>
              </w:rPr>
              <w:t>20</w:t>
            </w:r>
            <w:r w:rsidRPr="001A00E5">
              <w:rPr>
                <w:rFonts w:ascii="Times New Roman UniToktom" w:hAnsi="Times New Roman UniToktom" w:cs="Times New Roman UniToktom"/>
                <w:color w:val="000000" w:themeColor="text1"/>
                <w:sz w:val="24"/>
                <w:szCs w:val="24"/>
                <w:lang w:val="ky-KG"/>
              </w:rPr>
              <w:t xml:space="preserve">-жылга салыштырмалуу </w:t>
            </w:r>
            <w:r w:rsidR="005D4A79" w:rsidRPr="001A00E5">
              <w:rPr>
                <w:rFonts w:ascii="Times New Roman UniToktom" w:hAnsi="Times New Roman UniToktom" w:cs="Times New Roman UniToktom"/>
                <w:color w:val="000000" w:themeColor="text1"/>
                <w:sz w:val="24"/>
                <w:szCs w:val="24"/>
                <w:lang w:val="ky-KG"/>
              </w:rPr>
              <w:t>3,1</w:t>
            </w:r>
            <w:r w:rsidRPr="001A00E5">
              <w:rPr>
                <w:rFonts w:ascii="Times New Roman UniToktom" w:hAnsi="Times New Roman UniToktom" w:cs="Times New Roman UniToktom"/>
                <w:color w:val="000000" w:themeColor="text1"/>
                <w:sz w:val="24"/>
                <w:szCs w:val="24"/>
                <w:lang w:val="ky-KG"/>
              </w:rPr>
              <w:t xml:space="preserve"> эсеге же </w:t>
            </w:r>
            <w:r w:rsidR="005D4A79" w:rsidRPr="001A00E5">
              <w:rPr>
                <w:rFonts w:ascii="Times New Roman UniToktom" w:hAnsi="Times New Roman UniToktom" w:cs="Times New Roman UniToktom"/>
                <w:color w:val="000000" w:themeColor="text1"/>
                <w:sz w:val="24"/>
                <w:szCs w:val="24"/>
                <w:lang w:val="ky-KG"/>
              </w:rPr>
              <w:t>5</w:t>
            </w:r>
            <w:r w:rsidR="00EB5EFD">
              <w:rPr>
                <w:rFonts w:ascii="Times New Roman UniToktom" w:hAnsi="Times New Roman UniToktom" w:cs="Times New Roman UniToktom"/>
                <w:color w:val="000000" w:themeColor="text1"/>
                <w:sz w:val="24"/>
                <w:szCs w:val="24"/>
                <w:lang w:val="ky-KG"/>
              </w:rPr>
              <w:t xml:space="preserve"> </w:t>
            </w:r>
            <w:r w:rsidR="005D4A79" w:rsidRPr="001A00E5">
              <w:rPr>
                <w:rFonts w:ascii="Times New Roman UniToktom" w:hAnsi="Times New Roman UniToktom" w:cs="Times New Roman UniToktom"/>
                <w:color w:val="000000" w:themeColor="text1"/>
                <w:sz w:val="24"/>
                <w:szCs w:val="24"/>
                <w:lang w:val="ky-KG"/>
              </w:rPr>
              <w:t>065,5</w:t>
            </w:r>
            <w:r w:rsidRPr="001A00E5">
              <w:rPr>
                <w:rFonts w:ascii="Times New Roman UniToktom" w:hAnsi="Times New Roman UniToktom" w:cs="Times New Roman UniToktom"/>
                <w:color w:val="000000" w:themeColor="text1"/>
                <w:sz w:val="24"/>
                <w:szCs w:val="24"/>
                <w:lang w:val="ky-KG"/>
              </w:rPr>
              <w:t xml:space="preserve"> м</w:t>
            </w:r>
            <w:r w:rsidRPr="001A00E5">
              <w:rPr>
                <w:rFonts w:ascii="Times New Roman UniToktom" w:hAnsi="Times New Roman UniToktom" w:cs="Times New Roman UniToktom"/>
                <w:color w:val="000000" w:themeColor="text1"/>
                <w:sz w:val="24"/>
                <w:lang w:val="ky-KG"/>
              </w:rPr>
              <w:t>лн.</w:t>
            </w:r>
            <w:r w:rsidRPr="001A00E5">
              <w:rPr>
                <w:rFonts w:ascii="Times New Roman UniToktom" w:hAnsi="Times New Roman UniToktom" w:cs="Times New Roman UniToktom"/>
                <w:color w:val="000000" w:themeColor="text1"/>
                <w:sz w:val="24"/>
                <w:szCs w:val="24"/>
                <w:lang w:val="ky-KG"/>
              </w:rPr>
              <w:t xml:space="preserve"> сомго көбөйгөн.</w:t>
            </w:r>
          </w:p>
        </w:tc>
        <w:tc>
          <w:tcPr>
            <w:tcW w:w="4854" w:type="dxa"/>
          </w:tcPr>
          <w:p w14:paraId="59B79C2F" w14:textId="11CEA942" w:rsidR="00CD09DA" w:rsidRPr="00207B18" w:rsidRDefault="00CD09DA" w:rsidP="00CD09DA">
            <w:pPr>
              <w:pStyle w:val="24"/>
              <w:jc w:val="both"/>
              <w:rPr>
                <w:rFonts w:ascii="Times New Roman UniToktom" w:hAnsi="Times New Roman UniToktom" w:cs="Times New Roman UniToktom"/>
                <w:i/>
                <w:sz w:val="24"/>
                <w:szCs w:val="24"/>
              </w:rPr>
            </w:pPr>
            <w:r w:rsidRPr="00207B18">
              <w:rPr>
                <w:i/>
                <w:sz w:val="24"/>
                <w:lang w:val="ky-KG"/>
              </w:rPr>
              <w:t xml:space="preserve">     </w:t>
            </w:r>
            <w:r w:rsidRPr="00207B18">
              <w:rPr>
                <w:i/>
                <w:sz w:val="24"/>
              </w:rPr>
              <w:t>В 20</w:t>
            </w:r>
            <w:r w:rsidRPr="00207B18">
              <w:rPr>
                <w:i/>
                <w:sz w:val="24"/>
                <w:lang w:val="ky-KG"/>
              </w:rPr>
              <w:t>2</w:t>
            </w:r>
            <w:r w:rsidR="006F5511">
              <w:rPr>
                <w:i/>
                <w:sz w:val="24"/>
                <w:lang w:val="ky-KG"/>
              </w:rPr>
              <w:t>4</w:t>
            </w:r>
            <w:r w:rsidRPr="00207B18">
              <w:rPr>
                <w:i/>
                <w:sz w:val="24"/>
              </w:rPr>
              <w:t xml:space="preserve"> году расходная часть местного бюджета </w:t>
            </w:r>
            <w:r w:rsidRPr="00207B18">
              <w:rPr>
                <w:i/>
                <w:sz w:val="24"/>
                <w:lang w:val="ky-KG"/>
              </w:rPr>
              <w:t>по сравнению с 20</w:t>
            </w:r>
            <w:r w:rsidR="006F5511">
              <w:rPr>
                <w:i/>
                <w:sz w:val="24"/>
                <w:lang w:val="ky-KG"/>
              </w:rPr>
              <w:t>20</w:t>
            </w:r>
            <w:r w:rsidRPr="00207B18">
              <w:rPr>
                <w:i/>
                <w:sz w:val="24"/>
                <w:lang w:val="ky-KG"/>
              </w:rPr>
              <w:t>г.</w:t>
            </w:r>
            <w:r w:rsidRPr="00207B18">
              <w:rPr>
                <w:i/>
                <w:sz w:val="24"/>
              </w:rPr>
              <w:t xml:space="preserve"> </w:t>
            </w:r>
            <w:r w:rsidRPr="00207B18">
              <w:rPr>
                <w:i/>
                <w:sz w:val="24"/>
                <w:lang w:val="ky-KG"/>
              </w:rPr>
              <w:t>увеличилась</w:t>
            </w:r>
            <w:r w:rsidRPr="00207B18">
              <w:rPr>
                <w:i/>
                <w:sz w:val="24"/>
              </w:rPr>
              <w:t xml:space="preserve"> </w:t>
            </w:r>
            <w:r w:rsidRPr="00207B18">
              <w:rPr>
                <w:i/>
                <w:sz w:val="24"/>
                <w:lang w:val="ky-KG"/>
              </w:rPr>
              <w:t xml:space="preserve">в </w:t>
            </w:r>
            <w:r w:rsidR="006F5511">
              <w:rPr>
                <w:i/>
                <w:sz w:val="24"/>
                <w:lang w:val="ky-KG"/>
              </w:rPr>
              <w:t>3,</w:t>
            </w:r>
            <w:proofErr w:type="gramStart"/>
            <w:r w:rsidR="006F5511">
              <w:rPr>
                <w:i/>
                <w:sz w:val="24"/>
                <w:lang w:val="ky-KG"/>
              </w:rPr>
              <w:t xml:space="preserve">1 </w:t>
            </w:r>
            <w:r w:rsidRPr="00207B18">
              <w:rPr>
                <w:i/>
                <w:sz w:val="24"/>
                <w:lang w:val="ky-KG"/>
              </w:rPr>
              <w:t xml:space="preserve"> раза</w:t>
            </w:r>
            <w:proofErr w:type="gramEnd"/>
            <w:r w:rsidRPr="00207B18">
              <w:rPr>
                <w:i/>
                <w:sz w:val="24"/>
                <w:lang w:val="ky-KG"/>
              </w:rPr>
              <w:t xml:space="preserve"> или </w:t>
            </w:r>
            <w:r w:rsidR="006F5511">
              <w:rPr>
                <w:i/>
                <w:sz w:val="24"/>
                <w:lang w:val="ky-KG"/>
              </w:rPr>
              <w:t>5 065,5</w:t>
            </w:r>
            <w:r w:rsidRPr="00207B18">
              <w:rPr>
                <w:i/>
                <w:sz w:val="24"/>
                <w:lang w:val="ky-KG"/>
              </w:rPr>
              <w:t xml:space="preserve"> млн. сомов</w:t>
            </w:r>
            <w:r w:rsidRPr="00207B18">
              <w:rPr>
                <w:i/>
                <w:sz w:val="24"/>
              </w:rPr>
              <w:t>.</w:t>
            </w:r>
          </w:p>
        </w:tc>
      </w:tr>
      <w:tr w:rsidR="00CD09DA" w:rsidRPr="00947ABD" w14:paraId="73E16C97" w14:textId="77777777" w:rsidTr="00372228">
        <w:tc>
          <w:tcPr>
            <w:tcW w:w="4785" w:type="dxa"/>
          </w:tcPr>
          <w:p w14:paraId="486654E1" w14:textId="2F547D4A" w:rsidR="00CD09DA" w:rsidRPr="001A00E5" w:rsidRDefault="00CD09DA" w:rsidP="00CD09DA">
            <w:pPr>
              <w:pStyle w:val="13"/>
              <w:jc w:val="both"/>
              <w:rPr>
                <w:rFonts w:ascii="Times New Roman UniToktom" w:hAnsi="Times New Roman UniToktom" w:cs="Times New Roman UniToktom"/>
                <w:color w:val="000000" w:themeColor="text1"/>
                <w:sz w:val="24"/>
                <w:szCs w:val="24"/>
                <w:lang w:val="ky-KG"/>
              </w:rPr>
            </w:pPr>
            <w:r w:rsidRPr="001A00E5">
              <w:rPr>
                <w:rFonts w:ascii="Times New Roman UniToktom" w:hAnsi="Times New Roman UniToktom" w:cs="Times New Roman UniToktom"/>
                <w:color w:val="000000" w:themeColor="text1"/>
                <w:sz w:val="24"/>
                <w:szCs w:val="24"/>
                <w:lang w:val="ky-KG"/>
              </w:rPr>
              <w:t xml:space="preserve">       Жергиликтүү бюджеттин операциялык чыгымдар бөлүгүнүн ичинен социалдык–маданий чөйрөгө кеткен чыгымдардын үлүшү басымдуулук кылып – </w:t>
            </w:r>
            <w:r w:rsidR="00D74350" w:rsidRPr="001A00E5">
              <w:rPr>
                <w:rFonts w:ascii="Times New Roman UniToktom" w:hAnsi="Times New Roman UniToktom" w:cs="Times New Roman UniToktom"/>
                <w:color w:val="000000" w:themeColor="text1"/>
                <w:sz w:val="24"/>
                <w:szCs w:val="24"/>
                <w:lang w:val="ky-KG"/>
              </w:rPr>
              <w:t>5</w:t>
            </w:r>
            <w:r w:rsidR="008832EF" w:rsidRPr="001A00E5">
              <w:rPr>
                <w:rFonts w:ascii="Times New Roman UniToktom" w:hAnsi="Times New Roman UniToktom" w:cs="Times New Roman UniToktom"/>
                <w:color w:val="000000" w:themeColor="text1"/>
                <w:sz w:val="24"/>
                <w:szCs w:val="24"/>
                <w:lang w:val="ky-KG"/>
              </w:rPr>
              <w:t>9,0</w:t>
            </w:r>
            <w:r w:rsidRPr="001A00E5">
              <w:rPr>
                <w:rFonts w:ascii="Times New Roman UniToktom" w:hAnsi="Times New Roman UniToktom" w:cs="Times New Roman UniToktom"/>
                <w:color w:val="000000" w:themeColor="text1"/>
                <w:sz w:val="24"/>
                <w:szCs w:val="24"/>
                <w:lang w:val="ky-KG"/>
              </w:rPr>
              <w:t xml:space="preserve"> пайызын же </w:t>
            </w:r>
            <w:r w:rsidR="008832EF" w:rsidRPr="001A00E5">
              <w:rPr>
                <w:rFonts w:ascii="Times New Roman UniToktom" w:hAnsi="Times New Roman UniToktom" w:cs="Times New Roman UniToktom"/>
                <w:color w:val="000000" w:themeColor="text1"/>
                <w:sz w:val="24"/>
                <w:szCs w:val="24"/>
                <w:lang w:val="ky-KG"/>
              </w:rPr>
              <w:t>2</w:t>
            </w:r>
            <w:r w:rsidR="00EB5EFD">
              <w:rPr>
                <w:rFonts w:ascii="Times New Roman UniToktom" w:hAnsi="Times New Roman UniToktom" w:cs="Times New Roman UniToktom"/>
                <w:color w:val="000000" w:themeColor="text1"/>
                <w:sz w:val="24"/>
                <w:szCs w:val="24"/>
                <w:lang w:val="ky-KG"/>
              </w:rPr>
              <w:t xml:space="preserve"> </w:t>
            </w:r>
            <w:r w:rsidR="008832EF" w:rsidRPr="001A00E5">
              <w:rPr>
                <w:rFonts w:ascii="Times New Roman UniToktom" w:hAnsi="Times New Roman UniToktom" w:cs="Times New Roman UniToktom"/>
                <w:color w:val="000000" w:themeColor="text1"/>
                <w:sz w:val="24"/>
                <w:szCs w:val="24"/>
                <w:lang w:val="ky-KG"/>
              </w:rPr>
              <w:t>174,5</w:t>
            </w:r>
            <w:r w:rsidRPr="001A00E5">
              <w:rPr>
                <w:rFonts w:ascii="Times New Roman UniToktom" w:hAnsi="Times New Roman UniToktom" w:cs="Times New Roman UniToktom"/>
                <w:color w:val="000000" w:themeColor="text1"/>
                <w:sz w:val="24"/>
                <w:szCs w:val="24"/>
                <w:lang w:val="ky-KG"/>
              </w:rPr>
              <w:t xml:space="preserve"> млн. сомду түзгөн, анын ичинен билим берүүгө – </w:t>
            </w:r>
            <w:r w:rsidR="005600F5" w:rsidRPr="001A00E5">
              <w:rPr>
                <w:rFonts w:ascii="Times New Roman UniToktom" w:hAnsi="Times New Roman UniToktom" w:cs="Times New Roman UniToktom"/>
                <w:color w:val="000000" w:themeColor="text1"/>
                <w:sz w:val="24"/>
                <w:szCs w:val="24"/>
                <w:lang w:val="ky-KG"/>
              </w:rPr>
              <w:t>2</w:t>
            </w:r>
            <w:r w:rsidR="008832EF" w:rsidRPr="001A00E5">
              <w:rPr>
                <w:rFonts w:ascii="Times New Roman UniToktom" w:hAnsi="Times New Roman UniToktom" w:cs="Times New Roman UniToktom"/>
                <w:color w:val="000000" w:themeColor="text1"/>
                <w:sz w:val="24"/>
                <w:szCs w:val="24"/>
                <w:lang w:val="ky-KG"/>
              </w:rPr>
              <w:t>4,5</w:t>
            </w:r>
            <w:r w:rsidRPr="001A00E5">
              <w:rPr>
                <w:rFonts w:ascii="Times New Roman UniToktom" w:hAnsi="Times New Roman UniToktom" w:cs="Times New Roman UniToktom"/>
                <w:color w:val="000000" w:themeColor="text1"/>
                <w:sz w:val="24"/>
                <w:szCs w:val="24"/>
                <w:lang w:val="ky-KG"/>
              </w:rPr>
              <w:t xml:space="preserve"> пайызы же </w:t>
            </w:r>
            <w:r w:rsidR="008832EF" w:rsidRPr="001A00E5">
              <w:rPr>
                <w:rFonts w:ascii="Times New Roman UniToktom" w:hAnsi="Times New Roman UniToktom" w:cs="Times New Roman UniToktom"/>
                <w:color w:val="000000" w:themeColor="text1"/>
                <w:sz w:val="24"/>
                <w:szCs w:val="24"/>
                <w:lang w:val="ky-KG"/>
              </w:rPr>
              <w:t>904,2</w:t>
            </w:r>
            <w:r w:rsidRPr="001A00E5">
              <w:rPr>
                <w:rFonts w:ascii="Times New Roman UniToktom" w:hAnsi="Times New Roman UniToktom" w:cs="Times New Roman UniToktom"/>
                <w:color w:val="000000" w:themeColor="text1"/>
                <w:sz w:val="24"/>
                <w:szCs w:val="24"/>
                <w:lang w:val="ky-KG"/>
              </w:rPr>
              <w:t xml:space="preserve"> млн. сому кеткен. 20</w:t>
            </w:r>
            <w:r w:rsidR="008832EF" w:rsidRPr="001A00E5">
              <w:rPr>
                <w:rFonts w:ascii="Times New Roman UniToktom" w:hAnsi="Times New Roman UniToktom" w:cs="Times New Roman UniToktom"/>
                <w:color w:val="000000" w:themeColor="text1"/>
                <w:sz w:val="24"/>
                <w:szCs w:val="24"/>
                <w:lang w:val="ky-KG"/>
              </w:rPr>
              <w:t>20</w:t>
            </w:r>
            <w:r w:rsidRPr="001A00E5">
              <w:rPr>
                <w:rFonts w:ascii="Times New Roman UniToktom" w:hAnsi="Times New Roman UniToktom" w:cs="Times New Roman UniToktom"/>
                <w:color w:val="000000" w:themeColor="text1"/>
                <w:sz w:val="24"/>
                <w:szCs w:val="24"/>
                <w:lang w:val="ky-KG"/>
              </w:rPr>
              <w:t xml:space="preserve">-жылга салыштырмалуу жергиликтүү бюджеттин социалдык–маданий чөйрөгө кеткен чыгымдардын үлүшү басымдуулук кылып </w:t>
            </w:r>
            <w:r w:rsidR="00690A71" w:rsidRPr="001A00E5">
              <w:rPr>
                <w:rFonts w:ascii="Times New Roman UniToktom" w:hAnsi="Times New Roman UniToktom" w:cs="Times New Roman UniToktom"/>
                <w:color w:val="000000" w:themeColor="text1"/>
                <w:sz w:val="24"/>
                <w:szCs w:val="24"/>
                <w:lang w:val="ky-KG"/>
              </w:rPr>
              <w:t>2,7</w:t>
            </w:r>
            <w:r w:rsidRPr="001A00E5">
              <w:rPr>
                <w:rFonts w:ascii="Times New Roman UniToktom" w:hAnsi="Times New Roman UniToktom" w:cs="Times New Roman UniToktom"/>
                <w:color w:val="000000" w:themeColor="text1"/>
                <w:sz w:val="24"/>
                <w:szCs w:val="24"/>
                <w:lang w:val="ky-KG"/>
              </w:rPr>
              <w:t xml:space="preserve"> </w:t>
            </w:r>
            <w:r w:rsidR="005600F5" w:rsidRPr="001A00E5">
              <w:rPr>
                <w:rFonts w:ascii="Times New Roman UniToktom" w:hAnsi="Times New Roman UniToktom" w:cs="Times New Roman UniToktom"/>
                <w:color w:val="000000" w:themeColor="text1"/>
                <w:sz w:val="24"/>
                <w:szCs w:val="24"/>
                <w:lang w:val="ky-KG"/>
              </w:rPr>
              <w:t>эсеге</w:t>
            </w:r>
            <w:r w:rsidRPr="001A00E5">
              <w:rPr>
                <w:rFonts w:ascii="Times New Roman UniToktom" w:hAnsi="Times New Roman UniToktom" w:cs="Times New Roman UniToktom"/>
                <w:color w:val="000000" w:themeColor="text1"/>
                <w:sz w:val="24"/>
                <w:szCs w:val="24"/>
                <w:lang w:val="ky-KG"/>
              </w:rPr>
              <w:t xml:space="preserve"> же </w:t>
            </w:r>
            <w:r w:rsidR="00690A71" w:rsidRPr="001A00E5">
              <w:rPr>
                <w:rFonts w:ascii="Times New Roman UniToktom" w:hAnsi="Times New Roman UniToktom" w:cs="Times New Roman UniToktom"/>
                <w:color w:val="000000" w:themeColor="text1"/>
                <w:sz w:val="24"/>
                <w:szCs w:val="24"/>
                <w:lang w:val="ky-KG"/>
              </w:rPr>
              <w:t>1</w:t>
            </w:r>
            <w:r w:rsidR="00EB5EFD">
              <w:rPr>
                <w:rFonts w:ascii="Times New Roman UniToktom" w:hAnsi="Times New Roman UniToktom" w:cs="Times New Roman UniToktom"/>
                <w:color w:val="000000" w:themeColor="text1"/>
                <w:sz w:val="24"/>
                <w:szCs w:val="24"/>
                <w:lang w:val="ky-KG"/>
              </w:rPr>
              <w:t xml:space="preserve"> </w:t>
            </w:r>
            <w:r w:rsidR="00690A71" w:rsidRPr="001A00E5">
              <w:rPr>
                <w:rFonts w:ascii="Times New Roman UniToktom" w:hAnsi="Times New Roman UniToktom" w:cs="Times New Roman UniToktom"/>
                <w:color w:val="000000" w:themeColor="text1"/>
                <w:sz w:val="24"/>
                <w:szCs w:val="24"/>
                <w:lang w:val="ky-KG"/>
              </w:rPr>
              <w:t>336,4</w:t>
            </w:r>
            <w:r w:rsidRPr="001A00E5">
              <w:rPr>
                <w:rFonts w:ascii="Times New Roman UniToktom" w:hAnsi="Times New Roman UniToktom" w:cs="Times New Roman UniToktom"/>
                <w:color w:val="000000" w:themeColor="text1"/>
                <w:sz w:val="24"/>
                <w:szCs w:val="24"/>
                <w:lang w:val="ky-KG"/>
              </w:rPr>
              <w:t xml:space="preserve"> млн. сомго көбөйгөн.</w:t>
            </w:r>
          </w:p>
        </w:tc>
        <w:tc>
          <w:tcPr>
            <w:tcW w:w="4854" w:type="dxa"/>
          </w:tcPr>
          <w:p w14:paraId="18D30E89" w14:textId="47ABDD11" w:rsidR="00CD09DA" w:rsidRPr="00207B18" w:rsidRDefault="00CD09DA" w:rsidP="00CD09DA">
            <w:pPr>
              <w:pStyle w:val="24"/>
              <w:jc w:val="both"/>
              <w:rPr>
                <w:rFonts w:ascii="Times New Roman UniToktom" w:hAnsi="Times New Roman UniToktom" w:cs="Times New Roman UniToktom"/>
                <w:i/>
                <w:sz w:val="24"/>
                <w:szCs w:val="24"/>
                <w:lang w:val="ky-KG"/>
              </w:rPr>
            </w:pPr>
            <w:r w:rsidRPr="00207B18">
              <w:rPr>
                <w:rFonts w:ascii="Times New Roman UniToktom" w:hAnsi="Times New Roman UniToktom" w:cs="Times New Roman UniToktom"/>
                <w:i/>
                <w:sz w:val="24"/>
                <w:szCs w:val="24"/>
                <w:lang w:val="ky-KG"/>
              </w:rPr>
              <w:t xml:space="preserve">      </w:t>
            </w:r>
            <w:r w:rsidRPr="00207B18">
              <w:rPr>
                <w:rFonts w:ascii="Times New Roman UniToktom" w:hAnsi="Times New Roman UniToktom" w:cs="Times New Roman UniToktom"/>
                <w:i/>
                <w:sz w:val="24"/>
                <w:szCs w:val="24"/>
              </w:rPr>
              <w:t xml:space="preserve">На развитие социально-культурной сферы было израсходовано </w:t>
            </w:r>
            <w:r w:rsidR="006F5511">
              <w:rPr>
                <w:rFonts w:ascii="Times New Roman UniToktom" w:hAnsi="Times New Roman UniToktom" w:cs="Times New Roman UniToktom"/>
                <w:i/>
                <w:sz w:val="24"/>
                <w:szCs w:val="24"/>
              </w:rPr>
              <w:t>2 174,5</w:t>
            </w:r>
            <w:r w:rsidRPr="00207B18">
              <w:rPr>
                <w:rFonts w:ascii="Times New Roman UniToktom" w:hAnsi="Times New Roman UniToktom" w:cs="Times New Roman UniToktom"/>
                <w:i/>
                <w:sz w:val="24"/>
                <w:szCs w:val="24"/>
                <w:lang w:val="ky-KG"/>
              </w:rPr>
              <w:t xml:space="preserve"> млн</w:t>
            </w:r>
            <w:r w:rsidRPr="00207B18">
              <w:rPr>
                <w:rFonts w:ascii="Times New Roman UniToktom" w:hAnsi="Times New Roman UniToktom" w:cs="Times New Roman UniToktom"/>
                <w:i/>
                <w:sz w:val="24"/>
                <w:szCs w:val="24"/>
              </w:rPr>
              <w:t>. сомов, что составляет 5</w:t>
            </w:r>
            <w:r w:rsidR="006F5511">
              <w:rPr>
                <w:rFonts w:ascii="Times New Roman UniToktom" w:hAnsi="Times New Roman UniToktom" w:cs="Times New Roman UniToktom"/>
                <w:i/>
                <w:sz w:val="24"/>
                <w:szCs w:val="24"/>
              </w:rPr>
              <w:t>9</w:t>
            </w:r>
            <w:r w:rsidRPr="00207B18">
              <w:rPr>
                <w:rFonts w:ascii="Times New Roman UniToktom" w:hAnsi="Times New Roman UniToktom" w:cs="Times New Roman UniToktom"/>
                <w:i/>
                <w:sz w:val="24"/>
                <w:szCs w:val="24"/>
              </w:rPr>
              <w:t>,</w:t>
            </w:r>
            <w:r w:rsidR="006F5511">
              <w:rPr>
                <w:rFonts w:ascii="Times New Roman UniToktom" w:hAnsi="Times New Roman UniToktom" w:cs="Times New Roman UniToktom"/>
                <w:i/>
                <w:sz w:val="24"/>
                <w:szCs w:val="24"/>
              </w:rPr>
              <w:t>0</w:t>
            </w:r>
            <w:r w:rsidRPr="00207B18">
              <w:rPr>
                <w:rFonts w:ascii="Times New Roman UniToktom" w:hAnsi="Times New Roman UniToktom" w:cs="Times New Roman UniToktom"/>
                <w:i/>
                <w:sz w:val="24"/>
                <w:szCs w:val="24"/>
              </w:rPr>
              <w:t xml:space="preserve"> процента от операционных расходов, в том числе</w:t>
            </w:r>
            <w:r w:rsidRPr="00207B18">
              <w:rPr>
                <w:rFonts w:ascii="Times New Roman UniToktom" w:hAnsi="Times New Roman UniToktom" w:cs="Times New Roman UniToktom"/>
                <w:i/>
                <w:sz w:val="24"/>
                <w:szCs w:val="24"/>
                <w:lang w:val="ky-KG"/>
              </w:rPr>
              <w:t>,</w:t>
            </w:r>
            <w:r w:rsidRPr="00207B18">
              <w:rPr>
                <w:rFonts w:ascii="Times New Roman UniToktom" w:hAnsi="Times New Roman UniToktom" w:cs="Times New Roman UniToktom"/>
                <w:i/>
                <w:sz w:val="24"/>
                <w:szCs w:val="24"/>
              </w:rPr>
              <w:t xml:space="preserve"> на образование израсходовано </w:t>
            </w:r>
            <w:r w:rsidR="006F5511">
              <w:rPr>
                <w:rFonts w:ascii="Times New Roman UniToktom" w:hAnsi="Times New Roman UniToktom" w:cs="Times New Roman UniToktom"/>
                <w:i/>
                <w:sz w:val="24"/>
                <w:szCs w:val="24"/>
              </w:rPr>
              <w:t>904,2</w:t>
            </w:r>
            <w:r w:rsidRPr="00207B18">
              <w:rPr>
                <w:rFonts w:ascii="Times New Roman UniToktom" w:hAnsi="Times New Roman UniToktom" w:cs="Times New Roman UniToktom"/>
                <w:i/>
                <w:sz w:val="24"/>
                <w:szCs w:val="24"/>
                <w:lang w:val="ky-KG"/>
              </w:rPr>
              <w:t xml:space="preserve"> млн.</w:t>
            </w:r>
            <w:r w:rsidRPr="00207B18">
              <w:rPr>
                <w:rFonts w:ascii="Times New Roman UniToktom" w:hAnsi="Times New Roman UniToktom" w:cs="Times New Roman UniToktom"/>
                <w:i/>
                <w:sz w:val="24"/>
                <w:szCs w:val="24"/>
              </w:rPr>
              <w:t xml:space="preserve"> сомов</w:t>
            </w:r>
            <w:r w:rsidRPr="00207B18">
              <w:rPr>
                <w:rFonts w:ascii="Times New Roman UniToktom" w:hAnsi="Times New Roman UniToktom" w:cs="Times New Roman UniToktom"/>
                <w:i/>
                <w:sz w:val="24"/>
                <w:szCs w:val="24"/>
                <w:lang w:val="ky-KG"/>
              </w:rPr>
              <w:t>, и доля их составила 2</w:t>
            </w:r>
            <w:r w:rsidR="006F5511">
              <w:rPr>
                <w:rFonts w:ascii="Times New Roman UniToktom" w:hAnsi="Times New Roman UniToktom" w:cs="Times New Roman UniToktom"/>
                <w:i/>
                <w:sz w:val="24"/>
                <w:szCs w:val="24"/>
                <w:lang w:val="ky-KG"/>
              </w:rPr>
              <w:t xml:space="preserve">4,5 </w:t>
            </w:r>
            <w:r w:rsidRPr="00207B18">
              <w:rPr>
                <w:rFonts w:ascii="Times New Roman UniToktom" w:hAnsi="Times New Roman UniToktom" w:cs="Times New Roman UniToktom"/>
                <w:i/>
                <w:sz w:val="24"/>
                <w:szCs w:val="24"/>
              </w:rPr>
              <w:t>процента.</w:t>
            </w:r>
            <w:r w:rsidRPr="00207B18">
              <w:rPr>
                <w:rFonts w:ascii="Times New Roman UniToktom" w:hAnsi="Times New Roman UniToktom" w:cs="Times New Roman UniToktom"/>
                <w:i/>
                <w:sz w:val="24"/>
                <w:szCs w:val="24"/>
                <w:lang w:val="ky-KG"/>
              </w:rPr>
              <w:t xml:space="preserve"> По сравнению с 20</w:t>
            </w:r>
            <w:r w:rsidR="006F5511">
              <w:rPr>
                <w:rFonts w:ascii="Times New Roman UniToktom" w:hAnsi="Times New Roman UniToktom" w:cs="Times New Roman UniToktom"/>
                <w:i/>
                <w:sz w:val="24"/>
                <w:szCs w:val="24"/>
                <w:lang w:val="ky-KG"/>
              </w:rPr>
              <w:t>20</w:t>
            </w:r>
            <w:r w:rsidRPr="00207B18">
              <w:rPr>
                <w:rFonts w:ascii="Times New Roman UniToktom" w:hAnsi="Times New Roman UniToktom" w:cs="Times New Roman UniToktom"/>
                <w:i/>
                <w:sz w:val="24"/>
                <w:szCs w:val="24"/>
                <w:lang w:val="ky-KG"/>
              </w:rPr>
              <w:t>г. на развитие социально-культурной сферы было израсходовано на</w:t>
            </w:r>
            <w:r w:rsidR="006F5511">
              <w:rPr>
                <w:rFonts w:ascii="Times New Roman UniToktom" w:hAnsi="Times New Roman UniToktom" w:cs="Times New Roman UniToktom"/>
                <w:i/>
                <w:sz w:val="24"/>
                <w:szCs w:val="24"/>
                <w:lang w:val="ky-KG"/>
              </w:rPr>
              <w:t xml:space="preserve"> 1 336,4</w:t>
            </w:r>
            <w:r w:rsidRPr="00207B18">
              <w:rPr>
                <w:rFonts w:ascii="Times New Roman UniToktom" w:hAnsi="Times New Roman UniToktom" w:cs="Times New Roman UniToktom"/>
                <w:i/>
                <w:sz w:val="24"/>
                <w:szCs w:val="24"/>
                <w:lang w:val="ky-KG"/>
              </w:rPr>
              <w:t xml:space="preserve"> млн. сомов или в </w:t>
            </w:r>
            <w:r w:rsidR="006F5511">
              <w:rPr>
                <w:rFonts w:ascii="Times New Roman UniToktom" w:hAnsi="Times New Roman UniToktom" w:cs="Times New Roman UniToktom"/>
                <w:i/>
                <w:sz w:val="24"/>
                <w:szCs w:val="24"/>
                <w:lang w:val="ky-KG"/>
              </w:rPr>
              <w:t>2,7</w:t>
            </w:r>
            <w:r w:rsidRPr="00207B18">
              <w:rPr>
                <w:rFonts w:ascii="Times New Roman UniToktom" w:hAnsi="Times New Roman UniToktom" w:cs="Times New Roman UniToktom"/>
                <w:i/>
                <w:sz w:val="24"/>
                <w:szCs w:val="24"/>
                <w:lang w:val="ky-KG"/>
              </w:rPr>
              <w:t xml:space="preserve"> раза больше.</w:t>
            </w:r>
          </w:p>
        </w:tc>
      </w:tr>
      <w:tr w:rsidR="00CD09DA" w:rsidRPr="00947ABD" w14:paraId="73F177B4" w14:textId="77777777" w:rsidTr="00372228">
        <w:tc>
          <w:tcPr>
            <w:tcW w:w="4785" w:type="dxa"/>
          </w:tcPr>
          <w:p w14:paraId="606F81BA" w14:textId="6D465EEF" w:rsidR="00CD09DA" w:rsidRPr="001A00E5" w:rsidRDefault="00CD09DA" w:rsidP="00CD09DA">
            <w:pPr>
              <w:pStyle w:val="13"/>
              <w:jc w:val="both"/>
              <w:rPr>
                <w:rFonts w:ascii="Times New Roman UniToktom" w:hAnsi="Times New Roman UniToktom" w:cs="Times New Roman UniToktom"/>
                <w:color w:val="000000" w:themeColor="text1"/>
                <w:sz w:val="24"/>
                <w:szCs w:val="24"/>
                <w:lang w:val="ky-KG"/>
              </w:rPr>
            </w:pPr>
            <w:r w:rsidRPr="001A00E5">
              <w:rPr>
                <w:rFonts w:ascii="Times New Roman UniToktom" w:hAnsi="Times New Roman UniToktom" w:cs="Times New Roman UniToktom"/>
                <w:color w:val="000000" w:themeColor="text1"/>
                <w:sz w:val="24"/>
                <w:szCs w:val="24"/>
                <w:lang w:val="ky-KG"/>
              </w:rPr>
              <w:t xml:space="preserve">      Жалпы багыттагы мамлекеттик кызматтар, коргоо, коомдук тартип жана коопсуздукка кеткен чыгымдар 202</w:t>
            </w:r>
            <w:r w:rsidR="006F5511">
              <w:rPr>
                <w:rFonts w:ascii="Times New Roman UniToktom" w:hAnsi="Times New Roman UniToktom" w:cs="Times New Roman UniToktom"/>
                <w:color w:val="000000" w:themeColor="text1"/>
                <w:sz w:val="24"/>
                <w:szCs w:val="24"/>
                <w:lang w:val="ky-KG"/>
              </w:rPr>
              <w:t>4</w:t>
            </w:r>
            <w:r w:rsidRPr="001A00E5">
              <w:rPr>
                <w:rFonts w:ascii="Times New Roman UniToktom" w:hAnsi="Times New Roman UniToktom" w:cs="Times New Roman UniToktom"/>
                <w:color w:val="000000" w:themeColor="text1"/>
                <w:sz w:val="24"/>
                <w:szCs w:val="24"/>
                <w:lang w:val="ky-KG"/>
              </w:rPr>
              <w:t xml:space="preserve">-жылы </w:t>
            </w:r>
            <w:r w:rsidR="00690A71" w:rsidRPr="001A00E5">
              <w:rPr>
                <w:rFonts w:ascii="Times New Roman UniToktom" w:hAnsi="Times New Roman UniToktom" w:cs="Times New Roman UniToktom"/>
                <w:color w:val="000000" w:themeColor="text1"/>
                <w:sz w:val="24"/>
                <w:szCs w:val="24"/>
                <w:lang w:val="ky-KG"/>
              </w:rPr>
              <w:t>37,2</w:t>
            </w:r>
            <w:r w:rsidRPr="001A00E5">
              <w:rPr>
                <w:rFonts w:ascii="Times New Roman UniToktom" w:hAnsi="Times New Roman UniToktom" w:cs="Times New Roman UniToktom"/>
                <w:color w:val="000000" w:themeColor="text1"/>
                <w:sz w:val="24"/>
                <w:szCs w:val="24"/>
                <w:lang w:val="ky-KG"/>
              </w:rPr>
              <w:t xml:space="preserve"> пайызды же </w:t>
            </w:r>
            <w:r w:rsidR="00690A71" w:rsidRPr="001A00E5">
              <w:rPr>
                <w:rFonts w:ascii="Times New Roman UniToktom" w:hAnsi="Times New Roman UniToktom" w:cs="Times New Roman UniToktom"/>
                <w:color w:val="000000" w:themeColor="text1"/>
                <w:sz w:val="24"/>
                <w:szCs w:val="24"/>
                <w:lang w:val="ky-KG"/>
              </w:rPr>
              <w:t>1</w:t>
            </w:r>
            <w:r w:rsidR="006F5511">
              <w:rPr>
                <w:rFonts w:ascii="Times New Roman UniToktom" w:hAnsi="Times New Roman UniToktom" w:cs="Times New Roman UniToktom"/>
                <w:color w:val="000000" w:themeColor="text1"/>
                <w:sz w:val="24"/>
                <w:szCs w:val="24"/>
                <w:lang w:val="ky-KG"/>
              </w:rPr>
              <w:t xml:space="preserve"> </w:t>
            </w:r>
            <w:r w:rsidR="00690A71" w:rsidRPr="001A00E5">
              <w:rPr>
                <w:rFonts w:ascii="Times New Roman UniToktom" w:hAnsi="Times New Roman UniToktom" w:cs="Times New Roman UniToktom"/>
                <w:color w:val="000000" w:themeColor="text1"/>
                <w:sz w:val="24"/>
                <w:szCs w:val="24"/>
                <w:lang w:val="ky-KG"/>
              </w:rPr>
              <w:t>374,1</w:t>
            </w:r>
            <w:r w:rsidRPr="001A00E5">
              <w:rPr>
                <w:rFonts w:ascii="Times New Roman UniToktom" w:hAnsi="Times New Roman UniToktom" w:cs="Times New Roman UniToktom"/>
                <w:color w:val="000000" w:themeColor="text1"/>
                <w:sz w:val="24"/>
                <w:szCs w:val="24"/>
                <w:lang w:val="ky-KG"/>
              </w:rPr>
              <w:t xml:space="preserve"> млн. сомду, экономикалык</w:t>
            </w:r>
            <w:r w:rsidRPr="001A00E5">
              <w:rPr>
                <w:color w:val="000000" w:themeColor="text1"/>
                <w:sz w:val="24"/>
                <w:szCs w:val="24"/>
                <w:lang w:val="ky-KG"/>
              </w:rPr>
              <w:t xml:space="preserve"> маселелер </w:t>
            </w:r>
            <w:r w:rsidR="00690A71" w:rsidRPr="001A00E5">
              <w:rPr>
                <w:color w:val="000000" w:themeColor="text1"/>
                <w:sz w:val="24"/>
                <w:szCs w:val="24"/>
                <w:lang w:val="ky-KG"/>
              </w:rPr>
              <w:t>139,3</w:t>
            </w:r>
            <w:r w:rsidRPr="001A00E5">
              <w:rPr>
                <w:color w:val="000000" w:themeColor="text1"/>
                <w:sz w:val="24"/>
                <w:szCs w:val="24"/>
                <w:lang w:val="ky-KG"/>
              </w:rPr>
              <w:t xml:space="preserve"> млн.сомду</w:t>
            </w:r>
            <w:r w:rsidRPr="001A00E5">
              <w:rPr>
                <w:b/>
                <w:color w:val="000000" w:themeColor="text1"/>
                <w:sz w:val="24"/>
                <w:szCs w:val="24"/>
                <w:lang w:val="ky-KG"/>
              </w:rPr>
              <w:t xml:space="preserve">  </w:t>
            </w:r>
            <w:r w:rsidRPr="001A00E5">
              <w:rPr>
                <w:color w:val="000000" w:themeColor="text1"/>
                <w:sz w:val="24"/>
                <w:szCs w:val="24"/>
                <w:lang w:val="ky-KG"/>
              </w:rPr>
              <w:t xml:space="preserve">же </w:t>
            </w:r>
            <w:r w:rsidR="005600F5" w:rsidRPr="001A00E5">
              <w:rPr>
                <w:color w:val="000000" w:themeColor="text1"/>
                <w:sz w:val="24"/>
                <w:szCs w:val="24"/>
                <w:lang w:val="ky-KG"/>
              </w:rPr>
              <w:t>3,</w:t>
            </w:r>
            <w:r w:rsidR="00690A71" w:rsidRPr="001A00E5">
              <w:rPr>
                <w:color w:val="000000" w:themeColor="text1"/>
                <w:sz w:val="24"/>
                <w:szCs w:val="24"/>
                <w:lang w:val="ky-KG"/>
              </w:rPr>
              <w:t>7</w:t>
            </w:r>
            <w:r w:rsidRPr="001A00E5">
              <w:rPr>
                <w:color w:val="000000" w:themeColor="text1"/>
                <w:sz w:val="24"/>
                <w:szCs w:val="24"/>
                <w:lang w:val="ky-KG"/>
              </w:rPr>
              <w:t xml:space="preserve"> пайызды түздү.</w:t>
            </w:r>
          </w:p>
          <w:p w14:paraId="3E1ED482" w14:textId="77777777" w:rsidR="00CD09DA" w:rsidRPr="001A00E5" w:rsidRDefault="00CD09DA" w:rsidP="00CD09DA">
            <w:pPr>
              <w:rPr>
                <w:color w:val="000000" w:themeColor="text1"/>
                <w:lang w:val="ky-KG"/>
              </w:rPr>
            </w:pPr>
          </w:p>
        </w:tc>
        <w:tc>
          <w:tcPr>
            <w:tcW w:w="4854" w:type="dxa"/>
          </w:tcPr>
          <w:p w14:paraId="3FCB43B6" w14:textId="69CF6A4A" w:rsidR="00CD09DA" w:rsidRPr="00207B18" w:rsidRDefault="00CD09DA" w:rsidP="00CD09DA">
            <w:pPr>
              <w:pStyle w:val="24"/>
              <w:jc w:val="both"/>
              <w:rPr>
                <w:rFonts w:ascii="Times New Roman UniToktom" w:hAnsi="Times New Roman UniToktom" w:cs="Times New Roman UniToktom"/>
                <w:i/>
                <w:sz w:val="24"/>
                <w:szCs w:val="24"/>
                <w:lang w:val="ky-KG"/>
              </w:rPr>
            </w:pPr>
            <w:r w:rsidRPr="00207B18">
              <w:rPr>
                <w:rFonts w:ascii="Times New Roman UniToktom" w:hAnsi="Times New Roman UniToktom" w:cs="Times New Roman UniToktom"/>
                <w:i/>
                <w:sz w:val="24"/>
                <w:szCs w:val="24"/>
                <w:lang w:val="ky-KG"/>
              </w:rPr>
              <w:t xml:space="preserve">      </w:t>
            </w:r>
            <w:r w:rsidRPr="00207B18">
              <w:rPr>
                <w:rFonts w:ascii="Times New Roman UniToktom" w:hAnsi="Times New Roman UniToktom" w:cs="Times New Roman UniToktom"/>
                <w:i/>
                <w:sz w:val="24"/>
                <w:szCs w:val="24"/>
              </w:rPr>
              <w:t xml:space="preserve">На государственные услуги общего назначения, оборону, общественный порядок и безопасность </w:t>
            </w:r>
            <w:r w:rsidRPr="00207B18">
              <w:rPr>
                <w:rFonts w:ascii="Times New Roman UniToktom" w:hAnsi="Times New Roman UniToktom" w:cs="Times New Roman UniToktom"/>
                <w:i/>
                <w:sz w:val="24"/>
                <w:szCs w:val="24"/>
                <w:lang w:val="ky-KG"/>
              </w:rPr>
              <w:t>в 202</w:t>
            </w:r>
            <w:r w:rsidR="006F5511">
              <w:rPr>
                <w:rFonts w:ascii="Times New Roman UniToktom" w:hAnsi="Times New Roman UniToktom" w:cs="Times New Roman UniToktom"/>
                <w:i/>
                <w:sz w:val="24"/>
                <w:szCs w:val="24"/>
                <w:lang w:val="ky-KG"/>
              </w:rPr>
              <w:t>4</w:t>
            </w:r>
            <w:r w:rsidRPr="00207B18">
              <w:rPr>
                <w:rFonts w:ascii="Times New Roman UniToktom" w:hAnsi="Times New Roman UniToktom" w:cs="Times New Roman UniToktom"/>
                <w:i/>
                <w:sz w:val="24"/>
                <w:szCs w:val="24"/>
                <w:lang w:val="ky-KG"/>
              </w:rPr>
              <w:t xml:space="preserve">г. было </w:t>
            </w:r>
            <w:r w:rsidRPr="00207B18">
              <w:rPr>
                <w:rFonts w:ascii="Times New Roman UniToktom" w:hAnsi="Times New Roman UniToktom" w:cs="Times New Roman UniToktom"/>
                <w:i/>
                <w:sz w:val="24"/>
                <w:szCs w:val="24"/>
              </w:rPr>
              <w:t xml:space="preserve">направлено </w:t>
            </w:r>
            <w:r w:rsidRPr="00207B18">
              <w:rPr>
                <w:rFonts w:ascii="Times New Roman UniToktom" w:hAnsi="Times New Roman UniToktom" w:cs="Times New Roman UniToktom"/>
                <w:i/>
                <w:sz w:val="24"/>
                <w:szCs w:val="24"/>
                <w:lang w:val="ky-KG"/>
              </w:rPr>
              <w:t>1</w:t>
            </w:r>
            <w:r w:rsidR="006F5511">
              <w:rPr>
                <w:rFonts w:ascii="Times New Roman UniToktom" w:hAnsi="Times New Roman UniToktom" w:cs="Times New Roman UniToktom"/>
                <w:i/>
                <w:sz w:val="24"/>
                <w:szCs w:val="24"/>
                <w:lang w:val="ky-KG"/>
              </w:rPr>
              <w:t> 374,1</w:t>
            </w:r>
            <w:r w:rsidRPr="00207B18">
              <w:rPr>
                <w:rFonts w:ascii="Times New Roman UniToktom" w:hAnsi="Times New Roman UniToktom" w:cs="Times New Roman UniToktom"/>
                <w:i/>
                <w:sz w:val="24"/>
                <w:szCs w:val="24"/>
                <w:lang w:val="ky-KG"/>
              </w:rPr>
              <w:t xml:space="preserve"> млн</w:t>
            </w:r>
            <w:r w:rsidRPr="00207B18">
              <w:rPr>
                <w:rFonts w:ascii="Times New Roman UniToktom" w:hAnsi="Times New Roman UniToktom" w:cs="Times New Roman UniToktom"/>
                <w:i/>
                <w:sz w:val="24"/>
                <w:szCs w:val="24"/>
              </w:rPr>
              <w:t xml:space="preserve">. сомов или </w:t>
            </w:r>
            <w:r w:rsidR="006F5511">
              <w:rPr>
                <w:rFonts w:ascii="Times New Roman UniToktom" w:hAnsi="Times New Roman UniToktom" w:cs="Times New Roman UniToktom"/>
                <w:i/>
                <w:sz w:val="24"/>
                <w:szCs w:val="24"/>
              </w:rPr>
              <w:t>37,2</w:t>
            </w:r>
            <w:r w:rsidRPr="00207B18">
              <w:rPr>
                <w:rFonts w:ascii="Times New Roman UniToktom" w:hAnsi="Times New Roman UniToktom" w:cs="Times New Roman UniToktom"/>
                <w:i/>
                <w:sz w:val="24"/>
                <w:szCs w:val="24"/>
              </w:rPr>
              <w:t xml:space="preserve"> процента</w:t>
            </w:r>
            <w:r w:rsidRPr="00207B18">
              <w:rPr>
                <w:rFonts w:ascii="Times New Roman UniToktom" w:hAnsi="Times New Roman UniToktom" w:cs="Times New Roman UniToktom"/>
                <w:i/>
                <w:sz w:val="24"/>
                <w:szCs w:val="24"/>
                <w:lang w:val="ky-KG"/>
              </w:rPr>
              <w:t>, на экономические вопросы 1</w:t>
            </w:r>
            <w:r w:rsidR="006F5511">
              <w:rPr>
                <w:rFonts w:ascii="Times New Roman UniToktom" w:hAnsi="Times New Roman UniToktom" w:cs="Times New Roman UniToktom"/>
                <w:i/>
                <w:sz w:val="24"/>
                <w:szCs w:val="24"/>
                <w:lang w:val="ky-KG"/>
              </w:rPr>
              <w:t>39,3</w:t>
            </w:r>
            <w:r w:rsidRPr="00207B18">
              <w:rPr>
                <w:rFonts w:ascii="Times New Roman UniToktom" w:hAnsi="Times New Roman UniToktom" w:cs="Times New Roman UniToktom"/>
                <w:i/>
                <w:sz w:val="24"/>
                <w:szCs w:val="24"/>
                <w:lang w:val="ky-KG"/>
              </w:rPr>
              <w:t xml:space="preserve"> </w:t>
            </w:r>
            <w:proofErr w:type="gramStart"/>
            <w:r w:rsidRPr="00207B18">
              <w:rPr>
                <w:rFonts w:ascii="Times New Roman UniToktom" w:hAnsi="Times New Roman UniToktom" w:cs="Times New Roman UniToktom"/>
                <w:i/>
                <w:sz w:val="24"/>
                <w:szCs w:val="24"/>
                <w:lang w:val="ky-KG"/>
              </w:rPr>
              <w:t>млн.сомов</w:t>
            </w:r>
            <w:proofErr w:type="gramEnd"/>
            <w:r w:rsidRPr="00207B18">
              <w:rPr>
                <w:rFonts w:ascii="Times New Roman UniToktom" w:hAnsi="Times New Roman UniToktom" w:cs="Times New Roman UniToktom"/>
                <w:i/>
                <w:sz w:val="24"/>
                <w:szCs w:val="24"/>
                <w:lang w:val="ky-KG"/>
              </w:rPr>
              <w:t xml:space="preserve"> или 3,</w:t>
            </w:r>
            <w:r w:rsidR="00FB0FAB">
              <w:rPr>
                <w:rFonts w:ascii="Times New Roman UniToktom" w:hAnsi="Times New Roman UniToktom" w:cs="Times New Roman UniToktom"/>
                <w:i/>
                <w:sz w:val="24"/>
                <w:szCs w:val="24"/>
                <w:lang w:val="ky-KG"/>
              </w:rPr>
              <w:t>7</w:t>
            </w:r>
            <w:r w:rsidRPr="00207B18">
              <w:rPr>
                <w:rFonts w:ascii="Times New Roman UniToktom" w:hAnsi="Times New Roman UniToktom" w:cs="Times New Roman UniToktom"/>
                <w:i/>
                <w:sz w:val="24"/>
                <w:szCs w:val="24"/>
                <w:lang w:val="ky-KG"/>
              </w:rPr>
              <w:t xml:space="preserve"> процента.</w:t>
            </w:r>
          </w:p>
        </w:tc>
      </w:tr>
      <w:tr w:rsidR="00CD09DA" w:rsidRPr="00947ABD" w14:paraId="6ACD5EA0" w14:textId="77777777" w:rsidTr="00372228">
        <w:tc>
          <w:tcPr>
            <w:tcW w:w="4785" w:type="dxa"/>
          </w:tcPr>
          <w:p w14:paraId="4CBF9079" w14:textId="2CCF8821" w:rsidR="00CD09DA" w:rsidRPr="00CE232F" w:rsidRDefault="00CD09DA" w:rsidP="00CD09DA">
            <w:pPr>
              <w:jc w:val="both"/>
              <w:rPr>
                <w:rFonts w:ascii="Times New Roman UniToktom" w:hAnsi="Times New Roman UniToktom" w:cs="Times New Roman UniToktom"/>
                <w:sz w:val="24"/>
                <w:szCs w:val="24"/>
                <w:lang w:val="ky-KG"/>
              </w:rPr>
            </w:pPr>
            <w:r w:rsidRPr="00CE232F">
              <w:rPr>
                <w:b/>
                <w:sz w:val="24"/>
                <w:szCs w:val="24"/>
                <w:lang w:val="ky-KG"/>
              </w:rPr>
              <w:t xml:space="preserve">      </w:t>
            </w:r>
            <w:r w:rsidRPr="00CE232F">
              <w:rPr>
                <w:rFonts w:ascii="Times New Roman UniToktom" w:hAnsi="Times New Roman UniToktom" w:cs="Times New Roman UniToktom"/>
                <w:sz w:val="24"/>
                <w:szCs w:val="24"/>
                <w:lang w:val="ky-KG"/>
              </w:rPr>
              <w:t>Республикалык бюджеттин кирешеси    202</w:t>
            </w:r>
            <w:r w:rsidR="009D4929" w:rsidRPr="00CE232F">
              <w:rPr>
                <w:rFonts w:ascii="Times New Roman UniToktom" w:hAnsi="Times New Roman UniToktom" w:cs="Times New Roman UniToktom"/>
                <w:sz w:val="24"/>
                <w:szCs w:val="24"/>
                <w:lang w:val="ky-KG"/>
              </w:rPr>
              <w:t>4</w:t>
            </w:r>
            <w:r w:rsidRPr="00CE232F">
              <w:rPr>
                <w:rFonts w:ascii="Times New Roman UniToktom" w:hAnsi="Times New Roman UniToktom" w:cs="Times New Roman UniToktom"/>
                <w:sz w:val="24"/>
                <w:szCs w:val="24"/>
                <w:lang w:val="ky-KG"/>
              </w:rPr>
              <w:t xml:space="preserve">-жылдын </w:t>
            </w:r>
            <w:r w:rsidRPr="00CE232F">
              <w:rPr>
                <w:sz w:val="24"/>
                <w:lang w:val="ky-KG"/>
              </w:rPr>
              <w:t xml:space="preserve">(финансылык эмес активдерди сатуудан түшкөн киреше кошкондо), </w:t>
            </w:r>
            <w:r w:rsidR="009D4929" w:rsidRPr="00CE232F">
              <w:rPr>
                <w:sz w:val="24"/>
                <w:lang w:val="ky-KG"/>
              </w:rPr>
              <w:t>15 195,2</w:t>
            </w:r>
            <w:r w:rsidRPr="00CE232F">
              <w:rPr>
                <w:rFonts w:ascii="Times New Roman UniToktom" w:hAnsi="Times New Roman UniToktom" w:cs="Times New Roman UniToktom"/>
                <w:sz w:val="24"/>
                <w:szCs w:val="24"/>
                <w:lang w:val="ky-KG"/>
              </w:rPr>
              <w:t xml:space="preserve"> млн. сом көлөмүндө аткарылды, анын ичинен 100 пайызы  же   </w:t>
            </w:r>
          </w:p>
          <w:p w14:paraId="6C164640" w14:textId="587FF3E3" w:rsidR="00CD09DA" w:rsidRPr="00CE232F" w:rsidRDefault="009D4929" w:rsidP="00CD09DA">
            <w:pPr>
              <w:jc w:val="both"/>
              <w:rPr>
                <w:rFonts w:ascii="Times New Roman UniToktom" w:hAnsi="Times New Roman UniToktom" w:cs="Times New Roman UniToktom"/>
                <w:sz w:val="24"/>
                <w:szCs w:val="24"/>
                <w:lang w:val="ky-KG"/>
              </w:rPr>
            </w:pPr>
            <w:r w:rsidRPr="00CE232F">
              <w:rPr>
                <w:rFonts w:ascii="Times New Roman UniToktom" w:hAnsi="Times New Roman UniToktom" w:cs="Times New Roman UniToktom"/>
                <w:sz w:val="24"/>
                <w:szCs w:val="24"/>
                <w:lang w:val="ky-KG"/>
              </w:rPr>
              <w:t>15 195,2</w:t>
            </w:r>
            <w:r w:rsidR="00CD09DA" w:rsidRPr="00CE232F">
              <w:rPr>
                <w:rFonts w:ascii="Times New Roman UniToktom" w:hAnsi="Times New Roman UniToktom" w:cs="Times New Roman UniToktom"/>
                <w:sz w:val="24"/>
                <w:szCs w:val="24"/>
                <w:lang w:val="ky-KG"/>
              </w:rPr>
              <w:t xml:space="preserve"> млн. сом операциялык ишмер</w:t>
            </w:r>
            <w:r w:rsidR="00A349E3" w:rsidRPr="00CE232F">
              <w:rPr>
                <w:rFonts w:ascii="Times New Roman UniToktom" w:hAnsi="Times New Roman UniToktom" w:cs="Times New Roman UniToktom"/>
                <w:sz w:val="24"/>
                <w:szCs w:val="24"/>
                <w:lang w:val="ky-KG"/>
              </w:rPr>
              <w:t>-</w:t>
            </w:r>
            <w:r w:rsidR="00CD09DA" w:rsidRPr="00CE232F">
              <w:rPr>
                <w:rFonts w:ascii="Times New Roman UniToktom" w:hAnsi="Times New Roman UniToktom" w:cs="Times New Roman UniToktom"/>
                <w:sz w:val="24"/>
                <w:szCs w:val="24"/>
                <w:lang w:val="ky-KG"/>
              </w:rPr>
              <w:t xml:space="preserve">диктен түшкөн киреше болду. </w:t>
            </w:r>
          </w:p>
          <w:p w14:paraId="67BE1869" w14:textId="0FF954A2" w:rsidR="00CD09DA" w:rsidRPr="00CE232F" w:rsidRDefault="00CD09DA" w:rsidP="00CD09DA">
            <w:pPr>
              <w:jc w:val="both"/>
              <w:rPr>
                <w:rFonts w:ascii="Times New Roman UniToktom" w:hAnsi="Times New Roman UniToktom" w:cs="Times New Roman UniToktom"/>
                <w:sz w:val="24"/>
                <w:szCs w:val="24"/>
                <w:lang w:val="ky-KG"/>
              </w:rPr>
            </w:pPr>
            <w:r w:rsidRPr="00CE232F">
              <w:rPr>
                <w:rFonts w:ascii="Times New Roman UniToktom" w:hAnsi="Times New Roman UniToktom" w:cs="Times New Roman UniToktom"/>
                <w:sz w:val="24"/>
                <w:szCs w:val="24"/>
                <w:lang w:val="ky-KG"/>
              </w:rPr>
              <w:t xml:space="preserve">            202</w:t>
            </w:r>
            <w:r w:rsidR="009D4929" w:rsidRPr="00CE232F">
              <w:rPr>
                <w:rFonts w:ascii="Times New Roman UniToktom" w:hAnsi="Times New Roman UniToktom" w:cs="Times New Roman UniToktom"/>
                <w:sz w:val="24"/>
                <w:szCs w:val="24"/>
                <w:lang w:val="ky-KG"/>
              </w:rPr>
              <w:t>3</w:t>
            </w:r>
            <w:r w:rsidRPr="00CE232F">
              <w:rPr>
                <w:rFonts w:ascii="Times New Roman UniToktom" w:hAnsi="Times New Roman UniToktom" w:cs="Times New Roman UniToktom"/>
                <w:sz w:val="24"/>
                <w:szCs w:val="24"/>
                <w:lang w:val="ky-KG"/>
              </w:rPr>
              <w:t xml:space="preserve">-жылдын ушул эле мезгилине салыштырмалуу </w:t>
            </w:r>
            <w:r w:rsidR="00A349E3" w:rsidRPr="00CE232F">
              <w:rPr>
                <w:rFonts w:ascii="Times New Roman UniToktom" w:hAnsi="Times New Roman UniToktom" w:cs="Times New Roman UniToktom"/>
                <w:sz w:val="24"/>
                <w:szCs w:val="24"/>
                <w:lang w:val="ky-KG"/>
              </w:rPr>
              <w:t>1</w:t>
            </w:r>
            <w:r w:rsidR="009D4929" w:rsidRPr="00CE232F">
              <w:rPr>
                <w:rFonts w:ascii="Times New Roman UniToktom" w:hAnsi="Times New Roman UniToktom" w:cs="Times New Roman UniToktom"/>
                <w:sz w:val="24"/>
                <w:szCs w:val="24"/>
                <w:lang w:val="ky-KG"/>
              </w:rPr>
              <w:t>,1</w:t>
            </w:r>
            <w:r w:rsidR="00A349E3" w:rsidRPr="00CE232F">
              <w:rPr>
                <w:rFonts w:ascii="Times New Roman UniToktom" w:hAnsi="Times New Roman UniToktom" w:cs="Times New Roman UniToktom"/>
                <w:sz w:val="24"/>
                <w:szCs w:val="24"/>
                <w:lang w:val="ky-KG"/>
              </w:rPr>
              <w:t xml:space="preserve"> эсеге</w:t>
            </w:r>
            <w:r w:rsidRPr="00CE232F">
              <w:rPr>
                <w:rFonts w:ascii="Times New Roman UniToktom" w:hAnsi="Times New Roman UniToktom" w:cs="Times New Roman UniToktom"/>
                <w:sz w:val="24"/>
                <w:szCs w:val="24"/>
                <w:lang w:val="ky-KG"/>
              </w:rPr>
              <w:t xml:space="preserve">, же </w:t>
            </w:r>
            <w:r w:rsidR="009D4929" w:rsidRPr="00CE232F">
              <w:rPr>
                <w:rFonts w:ascii="Times New Roman UniToktom" w:hAnsi="Times New Roman UniToktom" w:cs="Times New Roman UniToktom"/>
                <w:sz w:val="24"/>
                <w:szCs w:val="24"/>
                <w:lang w:val="ky-KG"/>
              </w:rPr>
              <w:t>2</w:t>
            </w:r>
            <w:r w:rsidR="00207B18">
              <w:rPr>
                <w:rFonts w:ascii="Times New Roman UniToktom" w:hAnsi="Times New Roman UniToktom" w:cs="Times New Roman UniToktom"/>
                <w:sz w:val="24"/>
                <w:szCs w:val="24"/>
                <w:lang w:val="ky-KG"/>
              </w:rPr>
              <w:t xml:space="preserve"> </w:t>
            </w:r>
            <w:r w:rsidR="009D4929" w:rsidRPr="00CE232F">
              <w:rPr>
                <w:rFonts w:ascii="Times New Roman UniToktom" w:hAnsi="Times New Roman UniToktom" w:cs="Times New Roman UniToktom"/>
                <w:sz w:val="24"/>
                <w:szCs w:val="24"/>
                <w:lang w:val="ky-KG"/>
              </w:rPr>
              <w:t>018,8</w:t>
            </w:r>
            <w:r w:rsidRPr="00CE232F">
              <w:rPr>
                <w:rFonts w:ascii="Times New Roman UniToktom" w:hAnsi="Times New Roman UniToktom" w:cs="Times New Roman UniToktom"/>
                <w:sz w:val="24"/>
                <w:szCs w:val="24"/>
                <w:lang w:val="ky-KG"/>
              </w:rPr>
              <w:t xml:space="preserve"> млн. сомго көбөйгөн, ал эми  20</w:t>
            </w:r>
            <w:r w:rsidR="009D4929" w:rsidRPr="00CE232F">
              <w:rPr>
                <w:rFonts w:ascii="Times New Roman UniToktom" w:hAnsi="Times New Roman UniToktom" w:cs="Times New Roman UniToktom"/>
                <w:sz w:val="24"/>
                <w:szCs w:val="24"/>
                <w:lang w:val="ky-KG"/>
              </w:rPr>
              <w:t>20</w:t>
            </w:r>
            <w:r w:rsidRPr="00CE232F">
              <w:rPr>
                <w:rFonts w:ascii="Times New Roman UniToktom" w:hAnsi="Times New Roman UniToktom" w:cs="Times New Roman UniToktom"/>
                <w:sz w:val="24"/>
                <w:szCs w:val="24"/>
                <w:lang w:val="ky-KG"/>
              </w:rPr>
              <w:t>-жылга салыштырмалуу  3</w:t>
            </w:r>
            <w:r w:rsidR="00A349E3" w:rsidRPr="00CE232F">
              <w:rPr>
                <w:rFonts w:ascii="Times New Roman UniToktom" w:hAnsi="Times New Roman UniToktom" w:cs="Times New Roman UniToktom"/>
                <w:sz w:val="24"/>
                <w:szCs w:val="24"/>
                <w:lang w:val="ky-KG"/>
              </w:rPr>
              <w:t>,</w:t>
            </w:r>
            <w:r w:rsidR="009D4929" w:rsidRPr="00CE232F">
              <w:rPr>
                <w:rFonts w:ascii="Times New Roman UniToktom" w:hAnsi="Times New Roman UniToktom" w:cs="Times New Roman UniToktom"/>
                <w:sz w:val="24"/>
                <w:szCs w:val="24"/>
                <w:lang w:val="ky-KG"/>
              </w:rPr>
              <w:t>1</w:t>
            </w:r>
            <w:r w:rsidRPr="00CE232F">
              <w:rPr>
                <w:rFonts w:ascii="Times New Roman UniToktom" w:hAnsi="Times New Roman UniToktom" w:cs="Times New Roman UniToktom"/>
                <w:sz w:val="24"/>
                <w:szCs w:val="24"/>
                <w:lang w:val="ky-KG"/>
              </w:rPr>
              <w:t xml:space="preserve"> эсеге  же </w:t>
            </w:r>
            <w:r w:rsidR="009D4929" w:rsidRPr="00CE232F">
              <w:rPr>
                <w:rFonts w:ascii="Times New Roman UniToktom" w:hAnsi="Times New Roman UniToktom" w:cs="Times New Roman UniToktom"/>
                <w:sz w:val="24"/>
                <w:szCs w:val="24"/>
                <w:lang w:val="ky-KG"/>
              </w:rPr>
              <w:t>10 376,9</w:t>
            </w:r>
            <w:r w:rsidRPr="00CE232F">
              <w:rPr>
                <w:rFonts w:ascii="Times New Roman UniToktom" w:hAnsi="Times New Roman UniToktom" w:cs="Times New Roman UniToktom"/>
                <w:sz w:val="24"/>
                <w:szCs w:val="24"/>
                <w:lang w:val="ky-KG"/>
              </w:rPr>
              <w:t xml:space="preserve"> млн. сомго көбөйгөн.</w:t>
            </w:r>
          </w:p>
        </w:tc>
        <w:tc>
          <w:tcPr>
            <w:tcW w:w="4854" w:type="dxa"/>
          </w:tcPr>
          <w:p w14:paraId="02BB6990" w14:textId="35F127BE" w:rsidR="00CD09DA" w:rsidRPr="00207B18" w:rsidRDefault="00CD09DA" w:rsidP="00CD09DA">
            <w:pPr>
              <w:jc w:val="both"/>
              <w:rPr>
                <w:i/>
                <w:sz w:val="24"/>
                <w:lang w:val="ky-KG"/>
              </w:rPr>
            </w:pPr>
            <w:r w:rsidRPr="00207B18">
              <w:rPr>
                <w:rFonts w:ascii="Times New Roman UniToktom" w:hAnsi="Times New Roman UniToktom" w:cs="Times New Roman UniToktom"/>
                <w:i/>
                <w:sz w:val="24"/>
                <w:szCs w:val="24"/>
                <w:lang w:val="ky-KG"/>
              </w:rPr>
              <w:t xml:space="preserve">     </w:t>
            </w:r>
            <w:r w:rsidRPr="00207B18">
              <w:rPr>
                <w:rFonts w:ascii="Times New Roman UniToktom" w:hAnsi="Times New Roman UniToktom" w:cs="Times New Roman UniToktom"/>
                <w:i/>
                <w:sz w:val="24"/>
                <w:szCs w:val="24"/>
              </w:rPr>
              <w:t>Доход</w:t>
            </w:r>
            <w:r w:rsidRPr="00207B18">
              <w:rPr>
                <w:rFonts w:ascii="Times New Roman UniToktom" w:hAnsi="Times New Roman UniToktom" w:cs="Times New Roman UniToktom"/>
                <w:i/>
                <w:sz w:val="24"/>
                <w:szCs w:val="24"/>
                <w:lang w:val="ky-KG"/>
              </w:rPr>
              <w:t>ная часть</w:t>
            </w:r>
            <w:r w:rsidRPr="00207B18">
              <w:rPr>
                <w:rFonts w:ascii="Times New Roman UniToktom" w:hAnsi="Times New Roman UniToktom" w:cs="Times New Roman UniToktom"/>
                <w:i/>
                <w:sz w:val="24"/>
                <w:szCs w:val="24"/>
              </w:rPr>
              <w:t xml:space="preserve"> республиканского бюджета в 20</w:t>
            </w:r>
            <w:r w:rsidRPr="00207B18">
              <w:rPr>
                <w:rFonts w:ascii="Times New Roman UniToktom" w:hAnsi="Times New Roman UniToktom" w:cs="Times New Roman UniToktom"/>
                <w:i/>
                <w:sz w:val="24"/>
                <w:szCs w:val="24"/>
                <w:lang w:val="ky-KG"/>
              </w:rPr>
              <w:t>2</w:t>
            </w:r>
            <w:r w:rsidR="00FB0FAB">
              <w:rPr>
                <w:rFonts w:ascii="Times New Roman UniToktom" w:hAnsi="Times New Roman UniToktom" w:cs="Times New Roman UniToktom"/>
                <w:i/>
                <w:sz w:val="24"/>
                <w:szCs w:val="24"/>
                <w:lang w:val="ky-KG"/>
              </w:rPr>
              <w:t>4</w:t>
            </w:r>
            <w:r w:rsidRPr="00207B18">
              <w:rPr>
                <w:rFonts w:ascii="Times New Roman UniToktom" w:hAnsi="Times New Roman UniToktom" w:cs="Times New Roman UniToktom"/>
                <w:i/>
                <w:sz w:val="24"/>
                <w:szCs w:val="24"/>
              </w:rPr>
              <w:t xml:space="preserve"> </w:t>
            </w:r>
            <w:proofErr w:type="gramStart"/>
            <w:r w:rsidRPr="00207B18">
              <w:rPr>
                <w:rFonts w:ascii="Times New Roman UniToktom" w:hAnsi="Times New Roman UniToktom" w:cs="Times New Roman UniToktom"/>
                <w:i/>
                <w:sz w:val="24"/>
                <w:szCs w:val="24"/>
              </w:rPr>
              <w:t>год</w:t>
            </w:r>
            <w:r w:rsidRPr="00207B18">
              <w:rPr>
                <w:rFonts w:ascii="Times New Roman UniToktom" w:hAnsi="Times New Roman UniToktom" w:cs="Times New Roman UniToktom"/>
                <w:i/>
                <w:sz w:val="24"/>
                <w:szCs w:val="24"/>
                <w:lang w:val="ky-KG"/>
              </w:rPr>
              <w:t>у</w:t>
            </w:r>
            <w:r w:rsidRPr="00207B18">
              <w:rPr>
                <w:i/>
                <w:sz w:val="24"/>
              </w:rPr>
              <w:t>(</w:t>
            </w:r>
            <w:proofErr w:type="gramEnd"/>
            <w:r w:rsidRPr="00207B18">
              <w:rPr>
                <w:i/>
                <w:sz w:val="24"/>
              </w:rPr>
              <w:t>включая поступления от</w:t>
            </w:r>
            <w:r w:rsidRPr="00207B18">
              <w:rPr>
                <w:i/>
                <w:sz w:val="24"/>
                <w:lang w:val="ky-KG"/>
              </w:rPr>
              <w:t xml:space="preserve"> </w:t>
            </w:r>
            <w:r w:rsidRPr="00207B18">
              <w:rPr>
                <w:i/>
                <w:sz w:val="24"/>
              </w:rPr>
              <w:t>продажи</w:t>
            </w:r>
            <w:r w:rsidRPr="00207B18">
              <w:rPr>
                <w:i/>
                <w:sz w:val="24"/>
                <w:lang w:val="ky-KG"/>
              </w:rPr>
              <w:t xml:space="preserve"> </w:t>
            </w:r>
            <w:r w:rsidRPr="00207B18">
              <w:rPr>
                <w:i/>
                <w:sz w:val="24"/>
              </w:rPr>
              <w:t>нефинансовых активов)</w:t>
            </w:r>
            <w:r w:rsidRPr="00207B18">
              <w:rPr>
                <w:i/>
                <w:sz w:val="24"/>
                <w:lang w:val="ky-KG"/>
              </w:rPr>
              <w:t xml:space="preserve"> </w:t>
            </w:r>
            <w:r w:rsidRPr="00207B18">
              <w:rPr>
                <w:rFonts w:ascii="Times New Roman UniToktom" w:hAnsi="Times New Roman UniToktom" w:cs="Times New Roman UniToktom"/>
                <w:i/>
                <w:sz w:val="24"/>
                <w:szCs w:val="24"/>
              </w:rPr>
              <w:t xml:space="preserve">исполнены в размере </w:t>
            </w:r>
            <w:r w:rsidRPr="00207B18">
              <w:rPr>
                <w:rFonts w:ascii="Times New Roman UniToktom" w:hAnsi="Times New Roman UniToktom" w:cs="Times New Roman UniToktom"/>
                <w:i/>
                <w:sz w:val="24"/>
                <w:szCs w:val="24"/>
                <w:lang w:val="ky-KG"/>
              </w:rPr>
              <w:t>1</w:t>
            </w:r>
            <w:r w:rsidR="00FB0FAB">
              <w:rPr>
                <w:rFonts w:ascii="Times New Roman UniToktom" w:hAnsi="Times New Roman UniToktom" w:cs="Times New Roman UniToktom"/>
                <w:i/>
                <w:sz w:val="24"/>
                <w:szCs w:val="24"/>
                <w:lang w:val="ky-KG"/>
              </w:rPr>
              <w:t>5 195,2</w:t>
            </w:r>
            <w:r w:rsidRPr="00207B18">
              <w:rPr>
                <w:rFonts w:ascii="Times New Roman UniToktom" w:hAnsi="Times New Roman UniToktom" w:cs="Times New Roman UniToktom"/>
                <w:i/>
                <w:sz w:val="24"/>
                <w:szCs w:val="24"/>
                <w:lang w:val="ky-KG"/>
              </w:rPr>
              <w:t xml:space="preserve"> млн.</w:t>
            </w:r>
            <w:r w:rsidRPr="00207B18">
              <w:rPr>
                <w:rFonts w:ascii="Times New Roman UniToktom" w:hAnsi="Times New Roman UniToktom" w:cs="Times New Roman UniToktom"/>
                <w:i/>
                <w:sz w:val="24"/>
                <w:szCs w:val="24"/>
              </w:rPr>
              <w:t xml:space="preserve"> сомов, из них доходы от операционной деятельности составили </w:t>
            </w:r>
            <w:r w:rsidRPr="00207B18">
              <w:rPr>
                <w:rFonts w:ascii="Times New Roman UniToktom" w:hAnsi="Times New Roman UniToktom" w:cs="Times New Roman UniToktom"/>
                <w:i/>
                <w:sz w:val="24"/>
                <w:szCs w:val="24"/>
                <w:lang w:val="ky-KG"/>
              </w:rPr>
              <w:t>1</w:t>
            </w:r>
            <w:r w:rsidR="00FB0FAB">
              <w:rPr>
                <w:rFonts w:ascii="Times New Roman UniToktom" w:hAnsi="Times New Roman UniToktom" w:cs="Times New Roman UniToktom"/>
                <w:i/>
                <w:sz w:val="24"/>
                <w:szCs w:val="24"/>
                <w:lang w:val="ky-KG"/>
              </w:rPr>
              <w:t>5 195,2</w:t>
            </w:r>
            <w:r w:rsidRPr="00207B18">
              <w:rPr>
                <w:rFonts w:ascii="Times New Roman UniToktom" w:hAnsi="Times New Roman UniToktom" w:cs="Times New Roman UniToktom"/>
                <w:i/>
                <w:sz w:val="24"/>
                <w:szCs w:val="24"/>
                <w:lang w:val="ky-KG"/>
              </w:rPr>
              <w:t xml:space="preserve"> млн</w:t>
            </w:r>
            <w:r w:rsidRPr="00207B18">
              <w:rPr>
                <w:rFonts w:ascii="Times New Roman UniToktom" w:hAnsi="Times New Roman UniToktom" w:cs="Times New Roman UniToktom"/>
                <w:i/>
                <w:sz w:val="24"/>
                <w:szCs w:val="24"/>
              </w:rPr>
              <w:t xml:space="preserve">. сомов или </w:t>
            </w:r>
            <w:r w:rsidRPr="00207B18">
              <w:rPr>
                <w:rFonts w:ascii="Times New Roman UniToktom" w:hAnsi="Times New Roman UniToktom" w:cs="Times New Roman UniToktom"/>
                <w:i/>
                <w:sz w:val="24"/>
                <w:szCs w:val="24"/>
                <w:lang w:val="ky-KG"/>
              </w:rPr>
              <w:t>100</w:t>
            </w:r>
            <w:r w:rsidRPr="00207B18">
              <w:rPr>
                <w:rFonts w:ascii="Times New Roman UniToktom" w:hAnsi="Times New Roman UniToktom" w:cs="Times New Roman UniToktom"/>
                <w:i/>
                <w:sz w:val="24"/>
                <w:szCs w:val="24"/>
              </w:rPr>
              <w:t xml:space="preserve"> процентов.</w:t>
            </w:r>
            <w:r w:rsidRPr="00207B18">
              <w:rPr>
                <w:rFonts w:ascii="Times New Roman UniToktom" w:hAnsi="Times New Roman UniToktom" w:cs="Times New Roman UniToktom"/>
                <w:i/>
                <w:sz w:val="24"/>
                <w:szCs w:val="24"/>
                <w:lang w:val="ky-KG"/>
              </w:rPr>
              <w:t xml:space="preserve"> По сравнению с 20</w:t>
            </w:r>
            <w:r w:rsidRPr="00207B18">
              <w:rPr>
                <w:rFonts w:ascii="Times New Roman UniToktom" w:hAnsi="Times New Roman UniToktom" w:cs="Times New Roman UniToktom"/>
                <w:i/>
                <w:sz w:val="24"/>
                <w:szCs w:val="24"/>
              </w:rPr>
              <w:t>2</w:t>
            </w:r>
            <w:r w:rsidR="00FB0FAB">
              <w:rPr>
                <w:rFonts w:ascii="Times New Roman UniToktom" w:hAnsi="Times New Roman UniToktom" w:cs="Times New Roman UniToktom"/>
                <w:i/>
                <w:sz w:val="24"/>
                <w:szCs w:val="24"/>
              </w:rPr>
              <w:t>3</w:t>
            </w:r>
            <w:r w:rsidRPr="00207B18">
              <w:rPr>
                <w:rFonts w:ascii="Times New Roman UniToktom" w:hAnsi="Times New Roman UniToktom" w:cs="Times New Roman UniToktom"/>
                <w:i/>
                <w:sz w:val="24"/>
                <w:szCs w:val="24"/>
                <w:lang w:val="ky-KG"/>
              </w:rPr>
              <w:t>г. доходы увеличились в 1,</w:t>
            </w:r>
            <w:r w:rsidR="00FB0FAB">
              <w:rPr>
                <w:rFonts w:ascii="Times New Roman UniToktom" w:hAnsi="Times New Roman UniToktom" w:cs="Times New Roman UniToktom"/>
                <w:i/>
                <w:sz w:val="24"/>
                <w:szCs w:val="24"/>
                <w:lang w:val="ky-KG"/>
              </w:rPr>
              <w:t>1</w:t>
            </w:r>
            <w:r w:rsidRPr="00207B18">
              <w:rPr>
                <w:rFonts w:ascii="Times New Roman UniToktom" w:hAnsi="Times New Roman UniToktom" w:cs="Times New Roman UniToktom"/>
                <w:i/>
                <w:sz w:val="24"/>
                <w:szCs w:val="24"/>
                <w:lang w:val="ky-KG"/>
              </w:rPr>
              <w:t xml:space="preserve"> раза, или на </w:t>
            </w:r>
            <w:r w:rsidR="00FB0FAB">
              <w:rPr>
                <w:rFonts w:ascii="Times New Roman UniToktom" w:hAnsi="Times New Roman UniToktom" w:cs="Times New Roman UniToktom"/>
                <w:i/>
                <w:sz w:val="24"/>
                <w:szCs w:val="24"/>
                <w:lang w:val="ky-KG"/>
              </w:rPr>
              <w:t>2 018,8</w:t>
            </w:r>
            <w:r w:rsidRPr="00207B18">
              <w:rPr>
                <w:rFonts w:ascii="Times New Roman UniToktom" w:hAnsi="Times New Roman UniToktom" w:cs="Times New Roman UniToktom"/>
                <w:i/>
                <w:sz w:val="24"/>
                <w:szCs w:val="24"/>
                <w:lang w:val="ky-KG"/>
              </w:rPr>
              <w:t xml:space="preserve"> млн. сомов (с 20</w:t>
            </w:r>
            <w:r w:rsidR="00FB0FAB">
              <w:rPr>
                <w:rFonts w:ascii="Times New Roman UniToktom" w:hAnsi="Times New Roman UniToktom" w:cs="Times New Roman UniToktom"/>
                <w:i/>
                <w:sz w:val="24"/>
                <w:szCs w:val="24"/>
                <w:lang w:val="ky-KG"/>
              </w:rPr>
              <w:t>20</w:t>
            </w:r>
            <w:r w:rsidRPr="00207B18">
              <w:rPr>
                <w:rFonts w:ascii="Times New Roman UniToktom" w:hAnsi="Times New Roman UniToktom" w:cs="Times New Roman UniToktom"/>
                <w:i/>
                <w:sz w:val="24"/>
                <w:szCs w:val="24"/>
                <w:lang w:val="ky-KG"/>
              </w:rPr>
              <w:t>г. доходы увеличились в 3,</w:t>
            </w:r>
            <w:r w:rsidR="00FB0FAB">
              <w:rPr>
                <w:rFonts w:ascii="Times New Roman UniToktom" w:hAnsi="Times New Roman UniToktom" w:cs="Times New Roman UniToktom"/>
                <w:i/>
                <w:sz w:val="24"/>
                <w:szCs w:val="24"/>
                <w:lang w:val="ky-KG"/>
              </w:rPr>
              <w:t>1</w:t>
            </w:r>
            <w:r w:rsidRPr="00207B18">
              <w:rPr>
                <w:rFonts w:ascii="Times New Roman UniToktom" w:hAnsi="Times New Roman UniToktom" w:cs="Times New Roman UniToktom"/>
                <w:i/>
                <w:sz w:val="24"/>
                <w:szCs w:val="24"/>
                <w:lang w:val="ky-KG"/>
              </w:rPr>
              <w:t xml:space="preserve"> раза , или </w:t>
            </w:r>
            <w:r w:rsidR="00FB0FAB">
              <w:rPr>
                <w:rFonts w:ascii="Times New Roman UniToktom" w:hAnsi="Times New Roman UniToktom" w:cs="Times New Roman UniToktom"/>
                <w:i/>
                <w:sz w:val="24"/>
                <w:szCs w:val="24"/>
                <w:lang w:val="ky-KG"/>
              </w:rPr>
              <w:t>10 376,9</w:t>
            </w:r>
            <w:r w:rsidRPr="00207B18">
              <w:rPr>
                <w:rFonts w:ascii="Times New Roman UniToktom" w:hAnsi="Times New Roman UniToktom" w:cs="Times New Roman UniToktom"/>
                <w:i/>
                <w:sz w:val="24"/>
                <w:szCs w:val="24"/>
                <w:lang w:val="ky-KG"/>
              </w:rPr>
              <w:t xml:space="preserve"> млн. сомов).</w:t>
            </w:r>
          </w:p>
        </w:tc>
      </w:tr>
      <w:tr w:rsidR="00CD09DA" w:rsidRPr="00947ABD" w14:paraId="1FC76D86" w14:textId="77777777" w:rsidTr="00372228">
        <w:tc>
          <w:tcPr>
            <w:tcW w:w="4785" w:type="dxa"/>
          </w:tcPr>
          <w:p w14:paraId="63B40B7F" w14:textId="3CCD4FDC" w:rsidR="00CD09DA" w:rsidRPr="00CE232F" w:rsidRDefault="00CD09DA" w:rsidP="00CD09DA">
            <w:pPr>
              <w:pStyle w:val="1"/>
              <w:jc w:val="both"/>
              <w:rPr>
                <w:rFonts w:ascii="Times New Roman UniToktom" w:hAnsi="Times New Roman UniToktom" w:cs="Times New Roman UniToktom"/>
                <w:sz w:val="24"/>
                <w:lang w:val="ky-KG"/>
              </w:rPr>
            </w:pPr>
            <w:r w:rsidRPr="00CE232F">
              <w:rPr>
                <w:rFonts w:ascii="Times New Roman UniToktom" w:hAnsi="Times New Roman UniToktom" w:cs="Times New Roman UniToktom"/>
                <w:sz w:val="24"/>
                <w:lang w:val="ky-KG"/>
              </w:rPr>
              <w:t xml:space="preserve">       202</w:t>
            </w:r>
            <w:r w:rsidR="009D4929" w:rsidRPr="00CE232F">
              <w:rPr>
                <w:rFonts w:ascii="Times New Roman UniToktom" w:hAnsi="Times New Roman UniToktom" w:cs="Times New Roman UniToktom"/>
                <w:sz w:val="24"/>
                <w:lang w:val="ky-KG"/>
              </w:rPr>
              <w:t>4</w:t>
            </w:r>
            <w:r w:rsidRPr="00CE232F">
              <w:rPr>
                <w:rFonts w:ascii="Times New Roman UniToktom" w:hAnsi="Times New Roman UniToktom" w:cs="Times New Roman UniToktom"/>
                <w:sz w:val="24"/>
                <w:lang w:val="ky-KG"/>
              </w:rPr>
              <w:t>-жылы республикалык бюджетин ичинен салыктык төлөмдөрүнүн үлүшүнө 8</w:t>
            </w:r>
            <w:r w:rsidR="00CB736C" w:rsidRPr="00CE232F">
              <w:rPr>
                <w:rFonts w:ascii="Times New Roman UniToktom" w:hAnsi="Times New Roman UniToktom" w:cs="Times New Roman UniToktom"/>
                <w:sz w:val="24"/>
                <w:lang w:val="ky-KG"/>
              </w:rPr>
              <w:t>3,3</w:t>
            </w:r>
            <w:r w:rsidRPr="00CE232F">
              <w:rPr>
                <w:rFonts w:ascii="Times New Roman UniToktom" w:hAnsi="Times New Roman UniToktom" w:cs="Times New Roman UniToktom"/>
                <w:sz w:val="24"/>
                <w:lang w:val="ky-KG"/>
              </w:rPr>
              <w:t xml:space="preserve"> пайыз же 1</w:t>
            </w:r>
            <w:r w:rsidR="009D4929" w:rsidRPr="00CE232F">
              <w:rPr>
                <w:rFonts w:ascii="Times New Roman UniToktom" w:hAnsi="Times New Roman UniToktom" w:cs="Times New Roman UniToktom"/>
                <w:sz w:val="24"/>
                <w:lang w:val="ky-KG"/>
              </w:rPr>
              <w:t>2 659,8</w:t>
            </w:r>
            <w:r w:rsidRPr="00CE232F">
              <w:rPr>
                <w:rFonts w:ascii="Times New Roman UniToktom" w:hAnsi="Times New Roman UniToktom" w:cs="Times New Roman UniToktom"/>
                <w:sz w:val="24"/>
                <w:lang w:val="ky-KG"/>
              </w:rPr>
              <w:t xml:space="preserve"> млн. сому туура келди, өткөн жылдын ушул эле мезгилине салыштырмалуу </w:t>
            </w:r>
            <w:r w:rsidR="000B66E0" w:rsidRPr="00CE232F">
              <w:rPr>
                <w:rFonts w:ascii="Times New Roman UniToktom" w:hAnsi="Times New Roman UniToktom" w:cs="Times New Roman UniToktom"/>
                <w:sz w:val="24"/>
                <w:lang w:val="ky-KG"/>
              </w:rPr>
              <w:t>1,</w:t>
            </w:r>
            <w:r w:rsidR="00CB736C" w:rsidRPr="00CE232F">
              <w:rPr>
                <w:rFonts w:ascii="Times New Roman UniToktom" w:hAnsi="Times New Roman UniToktom" w:cs="Times New Roman UniToktom"/>
                <w:sz w:val="24"/>
                <w:lang w:val="ky-KG"/>
              </w:rPr>
              <w:t>1</w:t>
            </w:r>
            <w:r w:rsidR="000B66E0" w:rsidRPr="00CE232F">
              <w:rPr>
                <w:rFonts w:ascii="Times New Roman UniToktom" w:hAnsi="Times New Roman UniToktom" w:cs="Times New Roman UniToktom"/>
                <w:sz w:val="24"/>
                <w:lang w:val="ky-KG"/>
              </w:rPr>
              <w:t xml:space="preserve"> эсеге</w:t>
            </w:r>
            <w:r w:rsidRPr="00CE232F">
              <w:rPr>
                <w:rFonts w:ascii="Times New Roman UniToktom" w:hAnsi="Times New Roman UniToktom" w:cs="Times New Roman UniToktom"/>
                <w:sz w:val="24"/>
                <w:lang w:val="ky-KG"/>
              </w:rPr>
              <w:t xml:space="preserve"> көбөйгөн. Анын ичинен: киреше жана пайда салыгы </w:t>
            </w:r>
            <w:r w:rsidR="00CB736C" w:rsidRPr="00CE232F">
              <w:rPr>
                <w:rFonts w:ascii="Times New Roman UniToktom" w:hAnsi="Times New Roman UniToktom" w:cs="Times New Roman UniToktom"/>
                <w:sz w:val="24"/>
                <w:lang w:val="ky-KG"/>
              </w:rPr>
              <w:t>73,5</w:t>
            </w:r>
            <w:r w:rsidRPr="00CE232F">
              <w:rPr>
                <w:rFonts w:ascii="Times New Roman UniToktom" w:hAnsi="Times New Roman UniToktom" w:cs="Times New Roman UniToktom"/>
                <w:sz w:val="24"/>
                <w:lang w:val="ky-KG"/>
              </w:rPr>
              <w:t xml:space="preserve"> пайызды же </w:t>
            </w:r>
            <w:r w:rsidR="00CB736C" w:rsidRPr="00CE232F">
              <w:rPr>
                <w:rFonts w:ascii="Times New Roman UniToktom" w:hAnsi="Times New Roman UniToktom" w:cs="Times New Roman UniToktom"/>
                <w:sz w:val="24"/>
                <w:lang w:val="ky-KG"/>
              </w:rPr>
              <w:t>9 308,9</w:t>
            </w:r>
            <w:r w:rsidRPr="00CE232F">
              <w:rPr>
                <w:rFonts w:ascii="Times New Roman UniToktom" w:hAnsi="Times New Roman UniToktom" w:cs="Times New Roman UniToktom"/>
                <w:sz w:val="24"/>
                <w:lang w:val="ky-KG"/>
              </w:rPr>
              <w:t xml:space="preserve"> млн. сомду түздү. </w:t>
            </w:r>
          </w:p>
        </w:tc>
        <w:tc>
          <w:tcPr>
            <w:tcW w:w="4854" w:type="dxa"/>
          </w:tcPr>
          <w:p w14:paraId="0D2A0325" w14:textId="147BD75B" w:rsidR="00CD09DA" w:rsidRPr="00207B18" w:rsidRDefault="00CD09DA" w:rsidP="00CD09DA">
            <w:pPr>
              <w:pStyle w:val="24"/>
              <w:jc w:val="both"/>
              <w:rPr>
                <w:rFonts w:ascii="Times New Roman UniToktom" w:hAnsi="Times New Roman UniToktom" w:cs="Times New Roman UniToktom"/>
                <w:i/>
                <w:sz w:val="24"/>
                <w:szCs w:val="24"/>
              </w:rPr>
            </w:pPr>
            <w:r w:rsidRPr="00207B18">
              <w:rPr>
                <w:rFonts w:ascii="Times New Roman UniToktom" w:hAnsi="Times New Roman UniToktom" w:cs="Times New Roman UniToktom"/>
                <w:i/>
                <w:sz w:val="24"/>
                <w:szCs w:val="24"/>
                <w:lang w:val="ky-KG"/>
              </w:rPr>
              <w:t xml:space="preserve">      С</w:t>
            </w:r>
            <w:r w:rsidRPr="00207B18">
              <w:rPr>
                <w:rFonts w:ascii="Times New Roman UniToktom" w:hAnsi="Times New Roman UniToktom" w:cs="Times New Roman UniToktom"/>
                <w:i/>
                <w:sz w:val="24"/>
                <w:szCs w:val="24"/>
              </w:rPr>
              <w:t xml:space="preserve">умма </w:t>
            </w:r>
            <w:proofErr w:type="spellStart"/>
            <w:r w:rsidRPr="00207B18">
              <w:rPr>
                <w:rFonts w:ascii="Times New Roman UniToktom" w:hAnsi="Times New Roman UniToktom" w:cs="Times New Roman UniToktom"/>
                <w:i/>
                <w:sz w:val="24"/>
                <w:szCs w:val="24"/>
              </w:rPr>
              <w:t>налоговы</w:t>
            </w:r>
            <w:proofErr w:type="spellEnd"/>
            <w:r w:rsidRPr="00207B18">
              <w:rPr>
                <w:rFonts w:ascii="Times New Roman UniToktom" w:hAnsi="Times New Roman UniToktom" w:cs="Times New Roman UniToktom"/>
                <w:i/>
                <w:sz w:val="24"/>
                <w:szCs w:val="24"/>
                <w:lang w:val="ky-KG"/>
              </w:rPr>
              <w:t>х</w:t>
            </w:r>
            <w:r w:rsidRPr="00207B18">
              <w:rPr>
                <w:rFonts w:ascii="Times New Roman UniToktom" w:hAnsi="Times New Roman UniToktom" w:cs="Times New Roman UniToktom"/>
                <w:i/>
                <w:sz w:val="24"/>
                <w:szCs w:val="24"/>
              </w:rPr>
              <w:t xml:space="preserve"> </w:t>
            </w:r>
            <w:proofErr w:type="spellStart"/>
            <w:r w:rsidRPr="00207B18">
              <w:rPr>
                <w:rFonts w:ascii="Times New Roman UniToktom" w:hAnsi="Times New Roman UniToktom" w:cs="Times New Roman UniToktom"/>
                <w:i/>
                <w:sz w:val="24"/>
                <w:szCs w:val="24"/>
              </w:rPr>
              <w:t>поступлени</w:t>
            </w:r>
            <w:proofErr w:type="spellEnd"/>
            <w:r w:rsidRPr="00207B18">
              <w:rPr>
                <w:rFonts w:ascii="Times New Roman UniToktom" w:hAnsi="Times New Roman UniToktom" w:cs="Times New Roman UniToktom"/>
                <w:i/>
                <w:sz w:val="24"/>
                <w:szCs w:val="24"/>
                <w:lang w:val="ky-KG"/>
              </w:rPr>
              <w:t>й</w:t>
            </w:r>
            <w:r w:rsidRPr="00207B18">
              <w:rPr>
                <w:rFonts w:ascii="Times New Roman UniToktom" w:hAnsi="Times New Roman UniToktom" w:cs="Times New Roman UniToktom"/>
                <w:i/>
                <w:sz w:val="24"/>
                <w:szCs w:val="24"/>
              </w:rPr>
              <w:t xml:space="preserve"> в республиканский бюджет</w:t>
            </w:r>
            <w:r w:rsidRPr="00207B18">
              <w:rPr>
                <w:rFonts w:ascii="Times New Roman UniToktom" w:hAnsi="Times New Roman UniToktom" w:cs="Times New Roman UniToktom"/>
                <w:i/>
                <w:sz w:val="24"/>
                <w:szCs w:val="24"/>
                <w:lang w:val="ky-KG"/>
              </w:rPr>
              <w:t xml:space="preserve"> 202</w:t>
            </w:r>
            <w:r w:rsidR="00FB0FAB">
              <w:rPr>
                <w:rFonts w:ascii="Times New Roman UniToktom" w:hAnsi="Times New Roman UniToktom" w:cs="Times New Roman UniToktom"/>
                <w:i/>
                <w:sz w:val="24"/>
                <w:szCs w:val="24"/>
                <w:lang w:val="ky-KG"/>
              </w:rPr>
              <w:t>4</w:t>
            </w:r>
            <w:r w:rsidRPr="00207B18">
              <w:rPr>
                <w:rFonts w:ascii="Times New Roman UniToktom" w:hAnsi="Times New Roman UniToktom" w:cs="Times New Roman UniToktom"/>
                <w:i/>
                <w:sz w:val="24"/>
                <w:szCs w:val="24"/>
                <w:lang w:val="ky-KG"/>
              </w:rPr>
              <w:t xml:space="preserve"> -году</w:t>
            </w:r>
            <w:r w:rsidRPr="00207B18">
              <w:rPr>
                <w:rFonts w:ascii="Times New Roman UniToktom" w:hAnsi="Times New Roman UniToktom" w:cs="Times New Roman UniToktom"/>
                <w:i/>
                <w:sz w:val="24"/>
                <w:szCs w:val="24"/>
              </w:rPr>
              <w:t xml:space="preserve"> составил</w:t>
            </w:r>
            <w:r w:rsidRPr="00207B18">
              <w:rPr>
                <w:rFonts w:ascii="Times New Roman UniToktom" w:hAnsi="Times New Roman UniToktom" w:cs="Times New Roman UniToktom"/>
                <w:i/>
                <w:sz w:val="24"/>
                <w:szCs w:val="24"/>
                <w:lang w:val="ky-KG"/>
              </w:rPr>
              <w:t>а 82,</w:t>
            </w:r>
            <w:r w:rsidR="00FB0FAB">
              <w:rPr>
                <w:rFonts w:ascii="Times New Roman UniToktom" w:hAnsi="Times New Roman UniToktom" w:cs="Times New Roman UniToktom"/>
                <w:i/>
                <w:sz w:val="24"/>
                <w:szCs w:val="24"/>
                <w:lang w:val="ky-KG"/>
              </w:rPr>
              <w:t>3</w:t>
            </w:r>
            <w:r w:rsidRPr="00207B18">
              <w:rPr>
                <w:rFonts w:ascii="Times New Roman UniToktom" w:hAnsi="Times New Roman UniToktom" w:cs="Times New Roman UniToktom"/>
                <w:i/>
                <w:sz w:val="24"/>
                <w:szCs w:val="24"/>
              </w:rPr>
              <w:t xml:space="preserve"> процента </w:t>
            </w:r>
            <w:r w:rsidRPr="00207B18">
              <w:rPr>
                <w:rFonts w:ascii="Times New Roman UniToktom" w:hAnsi="Times New Roman UniToktom" w:cs="Times New Roman UniToktom"/>
                <w:i/>
                <w:sz w:val="24"/>
                <w:szCs w:val="24"/>
                <w:lang w:val="ky-KG"/>
              </w:rPr>
              <w:t>или</w:t>
            </w:r>
            <w:r w:rsidRPr="00207B18">
              <w:rPr>
                <w:rFonts w:ascii="Times New Roman UniToktom" w:hAnsi="Times New Roman UniToktom" w:cs="Times New Roman UniToktom"/>
                <w:i/>
                <w:sz w:val="24"/>
                <w:szCs w:val="24"/>
              </w:rPr>
              <w:t xml:space="preserve"> </w:t>
            </w:r>
            <w:r w:rsidRPr="00207B18">
              <w:rPr>
                <w:rFonts w:ascii="Times New Roman UniToktom" w:hAnsi="Times New Roman UniToktom" w:cs="Times New Roman UniToktom"/>
                <w:i/>
                <w:sz w:val="24"/>
                <w:szCs w:val="24"/>
                <w:lang w:val="ky-KG"/>
              </w:rPr>
              <w:t>1</w:t>
            </w:r>
            <w:r w:rsidR="00FB0FAB">
              <w:rPr>
                <w:rFonts w:ascii="Times New Roman UniToktom" w:hAnsi="Times New Roman UniToktom" w:cs="Times New Roman UniToktom"/>
                <w:i/>
                <w:sz w:val="24"/>
                <w:szCs w:val="24"/>
                <w:lang w:val="ky-KG"/>
              </w:rPr>
              <w:t>2 659,8</w:t>
            </w:r>
            <w:r w:rsidRPr="00207B18">
              <w:rPr>
                <w:rFonts w:ascii="Times New Roman UniToktom" w:hAnsi="Times New Roman UniToktom" w:cs="Times New Roman UniToktom"/>
                <w:i/>
                <w:sz w:val="24"/>
                <w:szCs w:val="24"/>
                <w:lang w:val="ky-KG"/>
              </w:rPr>
              <w:t xml:space="preserve"> млн</w:t>
            </w:r>
            <w:r w:rsidRPr="00207B18">
              <w:rPr>
                <w:rFonts w:ascii="Times New Roman UniToktom" w:hAnsi="Times New Roman UniToktom" w:cs="Times New Roman UniToktom"/>
                <w:i/>
                <w:szCs w:val="24"/>
                <w:lang w:val="ky-KG"/>
              </w:rPr>
              <w:t>.</w:t>
            </w:r>
            <w:r w:rsidRPr="00207B18">
              <w:rPr>
                <w:rFonts w:ascii="Times New Roman UniToktom" w:hAnsi="Times New Roman UniToktom" w:cs="Times New Roman UniToktom"/>
                <w:i/>
                <w:sz w:val="24"/>
                <w:szCs w:val="24"/>
              </w:rPr>
              <w:t xml:space="preserve"> сомов, по сравнению с этим же периодом прошлого года увеличились </w:t>
            </w:r>
            <w:r w:rsidRPr="00207B18">
              <w:rPr>
                <w:rFonts w:ascii="Times New Roman UniToktom" w:hAnsi="Times New Roman UniToktom" w:cs="Times New Roman UniToktom"/>
                <w:i/>
                <w:sz w:val="24"/>
                <w:szCs w:val="24"/>
                <w:lang w:val="ky-KG"/>
              </w:rPr>
              <w:t xml:space="preserve">в </w:t>
            </w:r>
            <w:r w:rsidR="000B66E0" w:rsidRPr="00207B18">
              <w:rPr>
                <w:rFonts w:ascii="Times New Roman UniToktom" w:hAnsi="Times New Roman UniToktom" w:cs="Times New Roman UniToktom"/>
                <w:i/>
                <w:sz w:val="24"/>
                <w:szCs w:val="24"/>
                <w:lang w:val="ky-KG"/>
              </w:rPr>
              <w:t>1,</w:t>
            </w:r>
            <w:r w:rsidR="00FB0FAB">
              <w:rPr>
                <w:rFonts w:ascii="Times New Roman UniToktom" w:hAnsi="Times New Roman UniToktom" w:cs="Times New Roman UniToktom"/>
                <w:i/>
                <w:sz w:val="24"/>
                <w:szCs w:val="24"/>
                <w:lang w:val="ky-KG"/>
              </w:rPr>
              <w:t>1</w:t>
            </w:r>
            <w:r w:rsidR="000B66E0" w:rsidRPr="00207B18">
              <w:rPr>
                <w:rFonts w:ascii="Times New Roman UniToktom" w:hAnsi="Times New Roman UniToktom" w:cs="Times New Roman UniToktom"/>
                <w:i/>
                <w:sz w:val="24"/>
                <w:szCs w:val="24"/>
                <w:lang w:val="ky-KG"/>
              </w:rPr>
              <w:t xml:space="preserve"> </w:t>
            </w:r>
            <w:r w:rsidRPr="00207B18">
              <w:rPr>
                <w:rFonts w:ascii="Times New Roman UniToktom" w:hAnsi="Times New Roman UniToktom" w:cs="Times New Roman UniToktom"/>
                <w:i/>
                <w:sz w:val="24"/>
                <w:szCs w:val="24"/>
                <w:lang w:val="ky-KG"/>
              </w:rPr>
              <w:t>раза</w:t>
            </w:r>
            <w:r w:rsidRPr="00207B18">
              <w:rPr>
                <w:rFonts w:ascii="Times New Roman UniToktom" w:hAnsi="Times New Roman UniToktom" w:cs="Times New Roman UniToktom"/>
                <w:i/>
                <w:sz w:val="24"/>
                <w:szCs w:val="24"/>
              </w:rPr>
              <w:t>. Из них</w:t>
            </w:r>
            <w:r w:rsidRPr="00207B18">
              <w:rPr>
                <w:rFonts w:ascii="Times New Roman UniToktom" w:hAnsi="Times New Roman UniToktom" w:cs="Times New Roman UniToktom"/>
                <w:i/>
                <w:sz w:val="24"/>
                <w:szCs w:val="24"/>
                <w:lang w:val="ky-KG"/>
              </w:rPr>
              <w:t xml:space="preserve">: </w:t>
            </w:r>
            <w:r w:rsidR="00FB0FAB">
              <w:rPr>
                <w:rFonts w:ascii="Times New Roman UniToktom" w:hAnsi="Times New Roman UniToktom" w:cs="Times New Roman UniToktom"/>
                <w:i/>
                <w:sz w:val="24"/>
                <w:szCs w:val="24"/>
                <w:lang w:val="ky-KG"/>
              </w:rPr>
              <w:t>73,5</w:t>
            </w:r>
            <w:r w:rsidRPr="00207B18">
              <w:rPr>
                <w:rFonts w:ascii="Times New Roman UniToktom" w:hAnsi="Times New Roman UniToktom" w:cs="Times New Roman UniToktom"/>
                <w:i/>
                <w:sz w:val="24"/>
                <w:szCs w:val="24"/>
              </w:rPr>
              <w:t xml:space="preserve"> процента</w:t>
            </w:r>
            <w:r w:rsidRPr="00207B18">
              <w:rPr>
                <w:rFonts w:ascii="Times New Roman UniToktom" w:hAnsi="Times New Roman UniToktom" w:cs="Times New Roman UniToktom"/>
                <w:i/>
                <w:sz w:val="24"/>
                <w:szCs w:val="24"/>
                <w:lang w:val="ky-KG"/>
              </w:rPr>
              <w:t>,</w:t>
            </w:r>
            <w:r w:rsidRPr="00207B18">
              <w:rPr>
                <w:rFonts w:ascii="Times New Roman UniToktom" w:hAnsi="Times New Roman UniToktom" w:cs="Times New Roman UniToktom"/>
                <w:i/>
                <w:sz w:val="24"/>
                <w:szCs w:val="24"/>
              </w:rPr>
              <w:t xml:space="preserve"> или </w:t>
            </w:r>
            <w:r w:rsidR="00FB0FAB">
              <w:rPr>
                <w:rFonts w:ascii="Times New Roman UniToktom" w:hAnsi="Times New Roman UniToktom" w:cs="Times New Roman UniToktom"/>
                <w:i/>
                <w:sz w:val="24"/>
                <w:szCs w:val="24"/>
              </w:rPr>
              <w:t>9 308,9</w:t>
            </w:r>
            <w:r w:rsidRPr="00207B18">
              <w:rPr>
                <w:rFonts w:ascii="Times New Roman UniToktom" w:hAnsi="Times New Roman UniToktom" w:cs="Times New Roman UniToktom"/>
                <w:i/>
                <w:sz w:val="24"/>
                <w:szCs w:val="24"/>
                <w:lang w:val="ky-KG"/>
              </w:rPr>
              <w:t xml:space="preserve"> млн. </w:t>
            </w:r>
            <w:r w:rsidRPr="00207B18">
              <w:rPr>
                <w:rFonts w:ascii="Times New Roman UniToktom" w:hAnsi="Times New Roman UniToktom" w:cs="Times New Roman UniToktom"/>
                <w:i/>
                <w:sz w:val="24"/>
                <w:szCs w:val="24"/>
              </w:rPr>
              <w:t xml:space="preserve">сомов налоговых поступлений </w:t>
            </w:r>
            <w:r w:rsidRPr="00207B18">
              <w:rPr>
                <w:rFonts w:ascii="Times New Roman UniToktom" w:hAnsi="Times New Roman UniToktom" w:cs="Times New Roman UniToktom"/>
                <w:i/>
                <w:sz w:val="24"/>
                <w:szCs w:val="24"/>
                <w:lang w:val="ky-KG"/>
              </w:rPr>
              <w:t>относится</w:t>
            </w:r>
            <w:r w:rsidRPr="00207B18">
              <w:rPr>
                <w:rFonts w:ascii="Times New Roman UniToktom" w:hAnsi="Times New Roman UniToktom" w:cs="Times New Roman UniToktom"/>
                <w:i/>
                <w:sz w:val="24"/>
                <w:szCs w:val="24"/>
              </w:rPr>
              <w:t xml:space="preserve"> налог</w:t>
            </w:r>
            <w:r w:rsidRPr="00207B18">
              <w:rPr>
                <w:rFonts w:ascii="Times New Roman UniToktom" w:hAnsi="Times New Roman UniToktom" w:cs="Times New Roman UniToktom"/>
                <w:i/>
                <w:sz w:val="24"/>
                <w:szCs w:val="24"/>
                <w:lang w:val="ky-KG"/>
              </w:rPr>
              <w:t>ам на</w:t>
            </w:r>
            <w:r w:rsidRPr="00207B18">
              <w:rPr>
                <w:rFonts w:ascii="Times New Roman UniToktom" w:hAnsi="Times New Roman UniToktom" w:cs="Times New Roman UniToktom"/>
                <w:i/>
                <w:sz w:val="24"/>
                <w:szCs w:val="24"/>
              </w:rPr>
              <w:t xml:space="preserve"> доходы и прибыль.</w:t>
            </w:r>
          </w:p>
        </w:tc>
      </w:tr>
      <w:tr w:rsidR="00CD09DA" w:rsidRPr="00947ABD" w14:paraId="13C93110" w14:textId="77777777" w:rsidTr="00372228">
        <w:tc>
          <w:tcPr>
            <w:tcW w:w="4785" w:type="dxa"/>
          </w:tcPr>
          <w:p w14:paraId="40C1614E" w14:textId="418A4A3C" w:rsidR="00CD09DA" w:rsidRPr="00CE232F" w:rsidRDefault="00CD09DA" w:rsidP="00CD09DA">
            <w:pPr>
              <w:pStyle w:val="13"/>
              <w:jc w:val="both"/>
              <w:rPr>
                <w:sz w:val="24"/>
                <w:lang w:val="ky-KG"/>
              </w:rPr>
            </w:pPr>
            <w:r w:rsidRPr="00CE232F">
              <w:rPr>
                <w:sz w:val="24"/>
                <w:lang w:val="ky-KG"/>
              </w:rPr>
              <w:t xml:space="preserve">      202</w:t>
            </w:r>
            <w:r w:rsidR="00CB736C" w:rsidRPr="00CE232F">
              <w:rPr>
                <w:sz w:val="24"/>
                <w:lang w:val="ky-KG"/>
              </w:rPr>
              <w:t>4</w:t>
            </w:r>
            <w:r w:rsidRPr="00CE232F">
              <w:rPr>
                <w:sz w:val="24"/>
                <w:lang w:val="ky-KG"/>
              </w:rPr>
              <w:t>-жылды 20</w:t>
            </w:r>
            <w:r w:rsidR="00CB736C" w:rsidRPr="00CE232F">
              <w:rPr>
                <w:sz w:val="24"/>
                <w:lang w:val="ky-KG"/>
              </w:rPr>
              <w:t>20</w:t>
            </w:r>
            <w:r w:rsidRPr="00CE232F">
              <w:rPr>
                <w:sz w:val="24"/>
                <w:lang w:val="ky-KG"/>
              </w:rPr>
              <w:t>-жылга салыштыр-малуу салыктык кирешеси</w:t>
            </w:r>
            <w:r w:rsidRPr="00CE232F">
              <w:rPr>
                <w:rFonts w:ascii="Times New Roman UniToktom" w:hAnsi="Times New Roman UniToktom" w:cs="Times New Roman UniToktom"/>
                <w:sz w:val="24"/>
                <w:szCs w:val="24"/>
                <w:lang w:val="ky-KG"/>
              </w:rPr>
              <w:t xml:space="preserve"> </w:t>
            </w:r>
            <w:r w:rsidR="00CB736C" w:rsidRPr="00CE232F">
              <w:rPr>
                <w:rFonts w:ascii="Times New Roman UniToktom" w:hAnsi="Times New Roman UniToktom" w:cs="Times New Roman UniToktom"/>
                <w:sz w:val="24"/>
                <w:szCs w:val="24"/>
                <w:lang w:val="ky-KG"/>
              </w:rPr>
              <w:t>3,6</w:t>
            </w:r>
            <w:r w:rsidRPr="00CE232F">
              <w:rPr>
                <w:rFonts w:ascii="Times New Roman UniToktom" w:hAnsi="Times New Roman UniToktom" w:cs="Times New Roman UniToktom"/>
                <w:sz w:val="24"/>
                <w:szCs w:val="24"/>
                <w:lang w:val="ky-KG"/>
              </w:rPr>
              <w:t xml:space="preserve"> эсеге   көбөйгөн, анын ичинен</w:t>
            </w:r>
            <w:r w:rsidRPr="00CE232F">
              <w:rPr>
                <w:rFonts w:ascii="Times New Roman UniToktom" w:hAnsi="Times New Roman UniToktom" w:cs="Times New Roman UniToktom"/>
                <w:sz w:val="24"/>
                <w:lang w:val="ky-KG"/>
              </w:rPr>
              <w:t xml:space="preserve"> басымдуу бөлүгү</w:t>
            </w:r>
            <w:r w:rsidRPr="00CE232F">
              <w:rPr>
                <w:rFonts w:ascii="Times New Roman UniToktom" w:hAnsi="Times New Roman UniToktom" w:cs="Times New Roman UniToktom"/>
                <w:sz w:val="24"/>
                <w:szCs w:val="24"/>
                <w:lang w:val="ky-KG"/>
              </w:rPr>
              <w:t xml:space="preserve"> товарлардын жана кызмат көрсөтүүлөрдүн салыгы </w:t>
            </w:r>
            <w:r w:rsidR="00CB736C" w:rsidRPr="00CE232F">
              <w:rPr>
                <w:rFonts w:ascii="Times New Roman UniToktom" w:hAnsi="Times New Roman UniToktom" w:cs="Times New Roman UniToktom"/>
                <w:sz w:val="24"/>
                <w:szCs w:val="24"/>
                <w:lang w:val="ky-KG"/>
              </w:rPr>
              <w:t>42,7</w:t>
            </w:r>
            <w:r w:rsidRPr="00CE232F">
              <w:rPr>
                <w:rFonts w:ascii="Times New Roman UniToktom" w:hAnsi="Times New Roman UniToktom" w:cs="Times New Roman UniToktom"/>
                <w:sz w:val="24"/>
                <w:szCs w:val="24"/>
                <w:lang w:val="ky-KG"/>
              </w:rPr>
              <w:t xml:space="preserve"> пайызды (5</w:t>
            </w:r>
            <w:r w:rsidR="00207B18">
              <w:rPr>
                <w:rFonts w:ascii="Times New Roman UniToktom" w:hAnsi="Times New Roman UniToktom" w:cs="Times New Roman UniToktom"/>
                <w:sz w:val="24"/>
                <w:szCs w:val="24"/>
                <w:lang w:val="ky-KG"/>
              </w:rPr>
              <w:t xml:space="preserve"> </w:t>
            </w:r>
            <w:r w:rsidR="00CB736C" w:rsidRPr="00CE232F">
              <w:rPr>
                <w:rFonts w:ascii="Times New Roman UniToktom" w:hAnsi="Times New Roman UniToktom" w:cs="Times New Roman UniToktom"/>
                <w:sz w:val="24"/>
                <w:szCs w:val="24"/>
                <w:lang w:val="ky-KG"/>
              </w:rPr>
              <w:t>41</w:t>
            </w:r>
            <w:r w:rsidRPr="00CE232F">
              <w:rPr>
                <w:rFonts w:ascii="Times New Roman UniToktom" w:hAnsi="Times New Roman UniToktom" w:cs="Times New Roman UniToktom"/>
                <w:sz w:val="24"/>
                <w:szCs w:val="24"/>
                <w:lang w:val="ky-KG"/>
              </w:rPr>
              <w:t>0</w:t>
            </w:r>
            <w:r w:rsidR="00CB736C" w:rsidRPr="00CE232F">
              <w:rPr>
                <w:rFonts w:ascii="Times New Roman UniToktom" w:hAnsi="Times New Roman UniToktom" w:cs="Times New Roman UniToktom"/>
                <w:sz w:val="24"/>
                <w:szCs w:val="24"/>
                <w:lang w:val="ky-KG"/>
              </w:rPr>
              <w:t>,0</w:t>
            </w:r>
            <w:r w:rsidRPr="00CE232F">
              <w:rPr>
                <w:rFonts w:ascii="Times New Roman UniToktom" w:hAnsi="Times New Roman UniToktom" w:cs="Times New Roman UniToktom"/>
                <w:sz w:val="24"/>
                <w:szCs w:val="24"/>
                <w:lang w:val="ky-KG"/>
              </w:rPr>
              <w:t xml:space="preserve"> млн.сом), 20</w:t>
            </w:r>
            <w:r w:rsidR="00CB736C" w:rsidRPr="00CE232F">
              <w:rPr>
                <w:rFonts w:ascii="Times New Roman UniToktom" w:hAnsi="Times New Roman UniToktom" w:cs="Times New Roman UniToktom"/>
                <w:sz w:val="24"/>
                <w:szCs w:val="24"/>
                <w:lang w:val="ky-KG"/>
              </w:rPr>
              <w:t>20</w:t>
            </w:r>
            <w:r w:rsidRPr="00CE232F">
              <w:rPr>
                <w:rFonts w:ascii="Times New Roman UniToktom" w:hAnsi="Times New Roman UniToktom" w:cs="Times New Roman UniToktom"/>
                <w:sz w:val="24"/>
                <w:szCs w:val="24"/>
                <w:lang w:val="ky-KG"/>
              </w:rPr>
              <w:t xml:space="preserve">-жылы анын үлүшү </w:t>
            </w:r>
            <w:r w:rsidR="00CB736C" w:rsidRPr="00CE232F">
              <w:rPr>
                <w:rFonts w:ascii="Times New Roman UniToktom" w:hAnsi="Times New Roman UniToktom" w:cs="Times New Roman UniToktom"/>
                <w:sz w:val="24"/>
                <w:szCs w:val="24"/>
                <w:lang w:val="ky-KG"/>
              </w:rPr>
              <w:t>46,5</w:t>
            </w:r>
            <w:r w:rsidRPr="00CE232F">
              <w:rPr>
                <w:rFonts w:ascii="Times New Roman UniToktom" w:hAnsi="Times New Roman UniToktom" w:cs="Times New Roman UniToktom"/>
                <w:sz w:val="24"/>
                <w:szCs w:val="24"/>
                <w:lang w:val="ky-KG"/>
              </w:rPr>
              <w:t xml:space="preserve"> пайызды (</w:t>
            </w:r>
            <w:r w:rsidR="00CB736C" w:rsidRPr="00CE232F">
              <w:rPr>
                <w:rFonts w:ascii="Times New Roman UniToktom" w:hAnsi="Times New Roman UniToktom" w:cs="Times New Roman UniToktom"/>
                <w:sz w:val="24"/>
                <w:szCs w:val="24"/>
                <w:lang w:val="ky-KG"/>
              </w:rPr>
              <w:t>1</w:t>
            </w:r>
            <w:r w:rsidR="00207B18">
              <w:rPr>
                <w:rFonts w:ascii="Times New Roman UniToktom" w:hAnsi="Times New Roman UniToktom" w:cs="Times New Roman UniToktom"/>
                <w:sz w:val="24"/>
                <w:szCs w:val="24"/>
                <w:lang w:val="ky-KG"/>
              </w:rPr>
              <w:t xml:space="preserve"> </w:t>
            </w:r>
            <w:r w:rsidR="00CB736C" w:rsidRPr="00CE232F">
              <w:rPr>
                <w:rFonts w:ascii="Times New Roman UniToktom" w:hAnsi="Times New Roman UniToktom" w:cs="Times New Roman UniToktom"/>
                <w:sz w:val="24"/>
                <w:szCs w:val="24"/>
                <w:lang w:val="ky-KG"/>
              </w:rPr>
              <w:t>639,1</w:t>
            </w:r>
            <w:r w:rsidRPr="00CE232F">
              <w:rPr>
                <w:sz w:val="24"/>
                <w:lang w:val="ky-KG"/>
              </w:rPr>
              <w:t xml:space="preserve"> млн. сом) түзгөн.</w:t>
            </w:r>
          </w:p>
        </w:tc>
        <w:tc>
          <w:tcPr>
            <w:tcW w:w="4854" w:type="dxa"/>
          </w:tcPr>
          <w:p w14:paraId="55BECCF2" w14:textId="2135C6DD" w:rsidR="00CD09DA" w:rsidRPr="00207B18" w:rsidRDefault="00CD09DA" w:rsidP="00CD09DA">
            <w:pPr>
              <w:pStyle w:val="24"/>
              <w:jc w:val="both"/>
              <w:rPr>
                <w:rFonts w:ascii="Times New Roman UniToktom" w:hAnsi="Times New Roman UniToktom" w:cs="Times New Roman UniToktom"/>
                <w:i/>
                <w:sz w:val="24"/>
                <w:szCs w:val="24"/>
              </w:rPr>
            </w:pPr>
            <w:r w:rsidRPr="00207B18">
              <w:rPr>
                <w:i/>
                <w:sz w:val="24"/>
                <w:lang w:val="ky-KG"/>
              </w:rPr>
              <w:t xml:space="preserve">     </w:t>
            </w:r>
            <w:r w:rsidRPr="00207B18">
              <w:rPr>
                <w:i/>
                <w:sz w:val="24"/>
              </w:rPr>
              <w:t>В 20</w:t>
            </w:r>
            <w:r w:rsidRPr="00207B18">
              <w:rPr>
                <w:i/>
                <w:sz w:val="24"/>
                <w:lang w:val="ky-KG"/>
              </w:rPr>
              <w:t>2</w:t>
            </w:r>
            <w:r w:rsidR="00FB0FAB">
              <w:rPr>
                <w:i/>
                <w:sz w:val="24"/>
                <w:lang w:val="ky-KG"/>
              </w:rPr>
              <w:t>4</w:t>
            </w:r>
            <w:r w:rsidRPr="00207B18">
              <w:rPr>
                <w:i/>
                <w:sz w:val="24"/>
              </w:rPr>
              <w:t xml:space="preserve"> году по сравнению с 20</w:t>
            </w:r>
            <w:r w:rsidR="00FB0FAB">
              <w:rPr>
                <w:i/>
                <w:sz w:val="24"/>
              </w:rPr>
              <w:t>20</w:t>
            </w:r>
            <w:r w:rsidRPr="00207B18">
              <w:rPr>
                <w:i/>
                <w:sz w:val="24"/>
              </w:rPr>
              <w:t xml:space="preserve"> годом налоговые поступления у</w:t>
            </w:r>
            <w:r w:rsidRPr="00207B18">
              <w:rPr>
                <w:i/>
                <w:sz w:val="24"/>
                <w:lang w:val="ky-KG"/>
              </w:rPr>
              <w:t>в</w:t>
            </w:r>
            <w:r w:rsidRPr="00207B18">
              <w:rPr>
                <w:i/>
                <w:sz w:val="24"/>
              </w:rPr>
              <w:t>е</w:t>
            </w:r>
            <w:r w:rsidRPr="00207B18">
              <w:rPr>
                <w:i/>
                <w:sz w:val="24"/>
                <w:lang w:val="ky-KG"/>
              </w:rPr>
              <w:t>л</w:t>
            </w:r>
            <w:r w:rsidRPr="00207B18">
              <w:rPr>
                <w:i/>
                <w:sz w:val="24"/>
              </w:rPr>
              <w:t>и</w:t>
            </w:r>
            <w:r w:rsidRPr="00207B18">
              <w:rPr>
                <w:i/>
                <w:sz w:val="24"/>
                <w:lang w:val="ky-KG"/>
              </w:rPr>
              <w:t>чи</w:t>
            </w:r>
            <w:proofErr w:type="spellStart"/>
            <w:r w:rsidRPr="00207B18">
              <w:rPr>
                <w:i/>
                <w:sz w:val="24"/>
              </w:rPr>
              <w:t>лись</w:t>
            </w:r>
            <w:proofErr w:type="spellEnd"/>
            <w:r w:rsidRPr="00207B18">
              <w:rPr>
                <w:i/>
                <w:sz w:val="24"/>
              </w:rPr>
              <w:t xml:space="preserve"> в </w:t>
            </w:r>
            <w:r w:rsidR="00FB0FAB">
              <w:rPr>
                <w:i/>
                <w:sz w:val="24"/>
              </w:rPr>
              <w:t>3</w:t>
            </w:r>
            <w:r w:rsidRPr="00207B18">
              <w:rPr>
                <w:i/>
                <w:sz w:val="24"/>
              </w:rPr>
              <w:t>,6</w:t>
            </w:r>
            <w:r w:rsidRPr="00207B18">
              <w:rPr>
                <w:i/>
                <w:sz w:val="24"/>
                <w:lang w:val="ky-KG"/>
              </w:rPr>
              <w:t xml:space="preserve"> раза</w:t>
            </w:r>
            <w:r w:rsidRPr="00207B18">
              <w:rPr>
                <w:i/>
                <w:sz w:val="24"/>
              </w:rPr>
              <w:t>, из них</w:t>
            </w:r>
            <w:r w:rsidRPr="00207B18">
              <w:rPr>
                <w:i/>
                <w:sz w:val="24"/>
                <w:lang w:val="ky-KG"/>
              </w:rPr>
              <w:t>:</w:t>
            </w:r>
            <w:r w:rsidRPr="00207B18">
              <w:rPr>
                <w:i/>
                <w:sz w:val="24"/>
              </w:rPr>
              <w:t xml:space="preserve"> наибольший удельный вес приходится на налог на </w:t>
            </w:r>
            <w:r w:rsidRPr="00207B18">
              <w:rPr>
                <w:i/>
                <w:sz w:val="24"/>
                <w:lang w:val="ky-KG"/>
              </w:rPr>
              <w:t>товары и услуги 4</w:t>
            </w:r>
            <w:r w:rsidR="00FB0FAB">
              <w:rPr>
                <w:i/>
                <w:sz w:val="24"/>
                <w:lang w:val="ky-KG"/>
              </w:rPr>
              <w:t>2</w:t>
            </w:r>
            <w:r w:rsidRPr="00207B18">
              <w:rPr>
                <w:i/>
                <w:sz w:val="24"/>
                <w:lang w:val="ky-KG"/>
              </w:rPr>
              <w:t>,</w:t>
            </w:r>
            <w:r w:rsidR="00FB0FAB">
              <w:rPr>
                <w:i/>
                <w:sz w:val="24"/>
                <w:lang w:val="ky-KG"/>
              </w:rPr>
              <w:t>7</w:t>
            </w:r>
            <w:r w:rsidRPr="00207B18">
              <w:rPr>
                <w:i/>
                <w:sz w:val="24"/>
                <w:lang w:val="ky-KG"/>
              </w:rPr>
              <w:t xml:space="preserve"> процента (5</w:t>
            </w:r>
            <w:r w:rsidR="00FB0FAB">
              <w:rPr>
                <w:i/>
                <w:sz w:val="24"/>
                <w:lang w:val="ky-KG"/>
              </w:rPr>
              <w:t> 41</w:t>
            </w:r>
            <w:r w:rsidRPr="00207B18">
              <w:rPr>
                <w:i/>
                <w:sz w:val="24"/>
                <w:lang w:val="ky-KG"/>
              </w:rPr>
              <w:t>0</w:t>
            </w:r>
            <w:r w:rsidR="00FB0FAB">
              <w:rPr>
                <w:i/>
                <w:sz w:val="24"/>
                <w:lang w:val="ky-KG"/>
              </w:rPr>
              <w:t>,0</w:t>
            </w:r>
            <w:r w:rsidRPr="00207B18">
              <w:rPr>
                <w:i/>
                <w:sz w:val="24"/>
                <w:lang w:val="ky-KG"/>
              </w:rPr>
              <w:t xml:space="preserve"> млн. сомов), в 20</w:t>
            </w:r>
            <w:r w:rsidR="00FB0FAB">
              <w:rPr>
                <w:i/>
                <w:sz w:val="24"/>
                <w:lang w:val="ky-KG"/>
              </w:rPr>
              <w:t>20</w:t>
            </w:r>
            <w:r w:rsidRPr="00207B18">
              <w:rPr>
                <w:i/>
                <w:sz w:val="24"/>
                <w:lang w:val="ky-KG"/>
              </w:rPr>
              <w:t xml:space="preserve"> г.  </w:t>
            </w:r>
            <w:r w:rsidR="00FB0FAB">
              <w:rPr>
                <w:i/>
                <w:sz w:val="24"/>
                <w:lang w:val="ky-KG"/>
              </w:rPr>
              <w:t>4</w:t>
            </w:r>
            <w:r w:rsidRPr="00207B18">
              <w:rPr>
                <w:i/>
                <w:sz w:val="24"/>
                <w:lang w:val="ky-KG"/>
              </w:rPr>
              <w:t>6</w:t>
            </w:r>
            <w:r w:rsidR="00FB0FAB">
              <w:rPr>
                <w:i/>
                <w:sz w:val="24"/>
                <w:lang w:val="ky-KG"/>
              </w:rPr>
              <w:t>,5</w:t>
            </w:r>
            <w:r w:rsidRPr="00207B18">
              <w:rPr>
                <w:i/>
                <w:sz w:val="24"/>
              </w:rPr>
              <w:t xml:space="preserve"> процента (</w:t>
            </w:r>
            <w:r w:rsidR="00FB0FAB">
              <w:rPr>
                <w:i/>
                <w:sz w:val="24"/>
              </w:rPr>
              <w:t>639,1</w:t>
            </w:r>
            <w:r w:rsidRPr="00207B18">
              <w:rPr>
                <w:i/>
                <w:sz w:val="24"/>
              </w:rPr>
              <w:t xml:space="preserve"> млн. сомов).</w:t>
            </w:r>
          </w:p>
        </w:tc>
      </w:tr>
      <w:tr w:rsidR="00CD09DA" w:rsidRPr="00947ABD" w14:paraId="15B8CCDA" w14:textId="77777777" w:rsidTr="00372228">
        <w:tc>
          <w:tcPr>
            <w:tcW w:w="4785" w:type="dxa"/>
          </w:tcPr>
          <w:p w14:paraId="286C01CA" w14:textId="74EC6B9B" w:rsidR="00CD09DA" w:rsidRPr="00CE232F" w:rsidRDefault="00CD09DA" w:rsidP="00CD09DA">
            <w:pPr>
              <w:pStyle w:val="13"/>
              <w:jc w:val="both"/>
              <w:rPr>
                <w:rFonts w:ascii="Times New Roman UniToktom" w:hAnsi="Times New Roman UniToktom" w:cs="Times New Roman UniToktom"/>
                <w:szCs w:val="24"/>
                <w:lang w:val="ky-KG"/>
              </w:rPr>
            </w:pPr>
            <w:r w:rsidRPr="00CE232F">
              <w:rPr>
                <w:rFonts w:ascii="Times New Roman UniToktom" w:hAnsi="Times New Roman UniToktom" w:cs="Times New Roman UniToktom"/>
                <w:sz w:val="24"/>
                <w:szCs w:val="24"/>
                <w:lang w:val="ky-KG"/>
              </w:rPr>
              <w:t xml:space="preserve">       Ал эми салыктык эмес төлөмдөрдүн үлүшүнө  2</w:t>
            </w:r>
            <w:r w:rsidR="00207B18">
              <w:rPr>
                <w:rFonts w:ascii="Times New Roman UniToktom" w:hAnsi="Times New Roman UniToktom" w:cs="Times New Roman UniToktom"/>
                <w:sz w:val="24"/>
                <w:szCs w:val="24"/>
                <w:lang w:val="ky-KG"/>
              </w:rPr>
              <w:t xml:space="preserve"> </w:t>
            </w:r>
            <w:r w:rsidR="00CB736C" w:rsidRPr="00CE232F">
              <w:rPr>
                <w:rFonts w:ascii="Times New Roman UniToktom" w:hAnsi="Times New Roman UniToktom" w:cs="Times New Roman UniToktom"/>
                <w:sz w:val="24"/>
                <w:szCs w:val="24"/>
                <w:lang w:val="ky-KG"/>
              </w:rPr>
              <w:t>535,1</w:t>
            </w:r>
            <w:r w:rsidRPr="00CE232F">
              <w:rPr>
                <w:rFonts w:ascii="Times New Roman UniToktom" w:hAnsi="Times New Roman UniToktom" w:cs="Times New Roman UniToktom"/>
                <w:sz w:val="24"/>
                <w:szCs w:val="24"/>
                <w:lang w:val="ky-KG"/>
              </w:rPr>
              <w:t xml:space="preserve"> млн. сом, же </w:t>
            </w:r>
            <w:r w:rsidR="00CB736C" w:rsidRPr="00CE232F">
              <w:rPr>
                <w:rFonts w:ascii="Times New Roman UniToktom" w:hAnsi="Times New Roman UniToktom" w:cs="Times New Roman UniToktom"/>
                <w:sz w:val="24"/>
                <w:szCs w:val="24"/>
                <w:lang w:val="ky-KG"/>
              </w:rPr>
              <w:t>20,0</w:t>
            </w:r>
            <w:r w:rsidRPr="00CE232F">
              <w:rPr>
                <w:rFonts w:ascii="Times New Roman UniToktom" w:hAnsi="Times New Roman UniToktom" w:cs="Times New Roman UniToktom"/>
                <w:sz w:val="24"/>
                <w:szCs w:val="24"/>
                <w:lang w:val="ky-KG"/>
              </w:rPr>
              <w:t xml:space="preserve"> пайызы туура келди, анын ичинен: товарларды сатуудан жана кызмат көрсөтүүлөрдөн түшкөн киреше салыгы 61,</w:t>
            </w:r>
            <w:r w:rsidR="00FA64C6" w:rsidRPr="00CE232F">
              <w:rPr>
                <w:rFonts w:ascii="Times New Roman UniToktom" w:hAnsi="Times New Roman UniToktom" w:cs="Times New Roman UniToktom"/>
                <w:sz w:val="24"/>
                <w:szCs w:val="24"/>
                <w:lang w:val="ky-KG"/>
              </w:rPr>
              <w:t>4</w:t>
            </w:r>
            <w:r w:rsidRPr="00CE232F">
              <w:rPr>
                <w:rFonts w:ascii="Times New Roman UniToktom" w:hAnsi="Times New Roman UniToktom" w:cs="Times New Roman UniToktom"/>
                <w:sz w:val="24"/>
                <w:szCs w:val="24"/>
                <w:lang w:val="ky-KG"/>
              </w:rPr>
              <w:t xml:space="preserve"> пайызды же </w:t>
            </w:r>
            <w:r w:rsidR="00FA64C6" w:rsidRPr="00CE232F">
              <w:rPr>
                <w:rFonts w:ascii="Times New Roman UniToktom" w:hAnsi="Times New Roman UniToktom" w:cs="Times New Roman UniToktom"/>
                <w:sz w:val="24"/>
                <w:szCs w:val="24"/>
                <w:lang w:val="ky-KG"/>
              </w:rPr>
              <w:t>1</w:t>
            </w:r>
            <w:r w:rsidR="00207B18">
              <w:rPr>
                <w:rFonts w:ascii="Times New Roman UniToktom" w:hAnsi="Times New Roman UniToktom" w:cs="Times New Roman UniToktom"/>
                <w:sz w:val="24"/>
                <w:szCs w:val="24"/>
                <w:lang w:val="ky-KG"/>
              </w:rPr>
              <w:t xml:space="preserve"> </w:t>
            </w:r>
            <w:r w:rsidR="00FA64C6" w:rsidRPr="00CE232F">
              <w:rPr>
                <w:rFonts w:ascii="Times New Roman UniToktom" w:hAnsi="Times New Roman UniToktom" w:cs="Times New Roman UniToktom"/>
                <w:sz w:val="24"/>
                <w:szCs w:val="24"/>
                <w:lang w:val="ky-KG"/>
              </w:rPr>
              <w:t>556,9</w:t>
            </w:r>
            <w:r w:rsidRPr="00CE232F">
              <w:rPr>
                <w:rFonts w:ascii="Times New Roman UniToktom" w:hAnsi="Times New Roman UniToktom" w:cs="Times New Roman UniToktom"/>
                <w:sz w:val="24"/>
                <w:szCs w:val="24"/>
                <w:lang w:val="ky-KG"/>
              </w:rPr>
              <w:t xml:space="preserve"> млн. сомду түздү, 20</w:t>
            </w:r>
            <w:r w:rsidR="00182B95" w:rsidRPr="00CE232F">
              <w:rPr>
                <w:rFonts w:ascii="Times New Roman UniToktom" w:hAnsi="Times New Roman UniToktom" w:cs="Times New Roman UniToktom"/>
                <w:sz w:val="24"/>
                <w:szCs w:val="24"/>
                <w:lang w:val="ky-KG"/>
              </w:rPr>
              <w:t>20</w:t>
            </w:r>
            <w:r w:rsidRPr="00CE232F">
              <w:rPr>
                <w:rFonts w:ascii="Times New Roman UniToktom" w:hAnsi="Times New Roman UniToktom" w:cs="Times New Roman UniToktom"/>
                <w:sz w:val="24"/>
                <w:szCs w:val="24"/>
                <w:lang w:val="ky-KG"/>
              </w:rPr>
              <w:t xml:space="preserve">-жылга салыштырмалуу салыктан тышкаркы кирише  </w:t>
            </w:r>
            <w:r w:rsidR="00182B95" w:rsidRPr="00CE232F">
              <w:rPr>
                <w:rFonts w:ascii="Times New Roman UniToktom" w:hAnsi="Times New Roman UniToktom" w:cs="Times New Roman UniToktom"/>
                <w:sz w:val="24"/>
                <w:szCs w:val="24"/>
                <w:lang w:val="ky-KG"/>
              </w:rPr>
              <w:t>1,9</w:t>
            </w:r>
            <w:r w:rsidRPr="00CE232F">
              <w:rPr>
                <w:rFonts w:ascii="Times New Roman UniToktom" w:hAnsi="Times New Roman UniToktom" w:cs="Times New Roman UniToktom"/>
                <w:sz w:val="24"/>
                <w:szCs w:val="24"/>
                <w:lang w:val="ky-KG"/>
              </w:rPr>
              <w:t xml:space="preserve"> </w:t>
            </w:r>
            <w:r w:rsidR="00182B95" w:rsidRPr="00CE232F">
              <w:rPr>
                <w:rFonts w:ascii="Times New Roman UniToktom" w:hAnsi="Times New Roman UniToktom" w:cs="Times New Roman UniToktom"/>
                <w:sz w:val="24"/>
                <w:szCs w:val="24"/>
                <w:lang w:val="ky-KG"/>
              </w:rPr>
              <w:t>эсе</w:t>
            </w:r>
            <w:r w:rsidRPr="00CE232F">
              <w:rPr>
                <w:rFonts w:ascii="Times New Roman UniToktom" w:hAnsi="Times New Roman UniToktom" w:cs="Times New Roman UniToktom"/>
                <w:sz w:val="24"/>
                <w:szCs w:val="24"/>
                <w:lang w:val="ky-KG"/>
              </w:rPr>
              <w:t xml:space="preserve"> көбөйгөн.</w:t>
            </w:r>
          </w:p>
        </w:tc>
        <w:tc>
          <w:tcPr>
            <w:tcW w:w="4854" w:type="dxa"/>
          </w:tcPr>
          <w:p w14:paraId="528D6717" w14:textId="3966F2FC" w:rsidR="00CD09DA" w:rsidRPr="00207B18" w:rsidRDefault="00CD09DA" w:rsidP="00CD09DA">
            <w:pPr>
              <w:pStyle w:val="24"/>
              <w:jc w:val="both"/>
              <w:rPr>
                <w:rFonts w:ascii="Times New Roman UniToktom" w:hAnsi="Times New Roman UniToktom" w:cs="Times New Roman UniToktom"/>
                <w:i/>
                <w:sz w:val="24"/>
                <w:szCs w:val="24"/>
              </w:rPr>
            </w:pPr>
            <w:r w:rsidRPr="00207B18">
              <w:rPr>
                <w:rFonts w:ascii="Times New Roman UniToktom" w:hAnsi="Times New Roman UniToktom" w:cs="Times New Roman UniToktom"/>
                <w:i/>
                <w:sz w:val="24"/>
                <w:szCs w:val="24"/>
                <w:lang w:val="ky-KG"/>
              </w:rPr>
              <w:t xml:space="preserve">      </w:t>
            </w:r>
            <w:r w:rsidRPr="00207B18">
              <w:rPr>
                <w:rFonts w:ascii="Times New Roman UniToktom" w:hAnsi="Times New Roman UniToktom" w:cs="Times New Roman UniToktom"/>
                <w:i/>
                <w:sz w:val="24"/>
                <w:szCs w:val="24"/>
              </w:rPr>
              <w:t>На неналоговые поступления приходятся</w:t>
            </w:r>
            <w:r w:rsidRPr="00207B18">
              <w:rPr>
                <w:rFonts w:ascii="Times New Roman UniToktom" w:hAnsi="Times New Roman UniToktom" w:cs="Times New Roman UniToktom"/>
                <w:i/>
                <w:sz w:val="24"/>
                <w:szCs w:val="24"/>
                <w:lang w:val="ky-KG"/>
              </w:rPr>
              <w:t xml:space="preserve"> </w:t>
            </w:r>
            <w:r w:rsidR="00FB0FAB">
              <w:rPr>
                <w:rFonts w:ascii="Times New Roman UniToktom" w:hAnsi="Times New Roman UniToktom" w:cs="Times New Roman UniToktom"/>
                <w:i/>
                <w:sz w:val="24"/>
                <w:szCs w:val="24"/>
                <w:lang w:val="ky-KG"/>
              </w:rPr>
              <w:t>20,</w:t>
            </w:r>
            <w:proofErr w:type="gramStart"/>
            <w:r w:rsidR="00FB0FAB">
              <w:rPr>
                <w:rFonts w:ascii="Times New Roman UniToktom" w:hAnsi="Times New Roman UniToktom" w:cs="Times New Roman UniToktom"/>
                <w:i/>
                <w:sz w:val="24"/>
                <w:szCs w:val="24"/>
                <w:lang w:val="ky-KG"/>
              </w:rPr>
              <w:t xml:space="preserve">0 </w:t>
            </w:r>
            <w:r w:rsidRPr="00207B18">
              <w:rPr>
                <w:rFonts w:ascii="Times New Roman UniToktom" w:hAnsi="Times New Roman UniToktom" w:cs="Times New Roman UniToktom"/>
                <w:i/>
                <w:sz w:val="24"/>
                <w:szCs w:val="24"/>
                <w:lang w:val="ky-KG"/>
              </w:rPr>
              <w:t xml:space="preserve"> </w:t>
            </w:r>
            <w:r w:rsidRPr="00207B18">
              <w:rPr>
                <w:rFonts w:ascii="Times New Roman UniToktom" w:hAnsi="Times New Roman UniToktom" w:cs="Times New Roman UniToktom"/>
                <w:i/>
                <w:sz w:val="24"/>
                <w:szCs w:val="24"/>
              </w:rPr>
              <w:t>процента</w:t>
            </w:r>
            <w:proofErr w:type="gramEnd"/>
            <w:r w:rsidRPr="00207B18">
              <w:rPr>
                <w:rFonts w:ascii="Times New Roman UniToktom" w:hAnsi="Times New Roman UniToktom" w:cs="Times New Roman UniToktom"/>
                <w:i/>
                <w:sz w:val="24"/>
                <w:szCs w:val="24"/>
                <w:lang w:val="ky-KG"/>
              </w:rPr>
              <w:t xml:space="preserve"> от всех дохдов</w:t>
            </w:r>
            <w:r w:rsidRPr="00207B18">
              <w:rPr>
                <w:rFonts w:ascii="Times New Roman UniToktom" w:hAnsi="Times New Roman UniToktom" w:cs="Times New Roman UniToktom"/>
                <w:i/>
                <w:sz w:val="24"/>
                <w:szCs w:val="24"/>
              </w:rPr>
              <w:t xml:space="preserve"> или </w:t>
            </w:r>
            <w:r w:rsidRPr="00207B18">
              <w:rPr>
                <w:rFonts w:ascii="Times New Roman UniToktom" w:hAnsi="Times New Roman UniToktom" w:cs="Times New Roman UniToktom"/>
                <w:i/>
                <w:sz w:val="24"/>
                <w:szCs w:val="24"/>
                <w:lang w:val="ky-KG"/>
              </w:rPr>
              <w:t>2</w:t>
            </w:r>
            <w:r w:rsidR="00FB0FAB">
              <w:rPr>
                <w:rFonts w:ascii="Times New Roman UniToktom" w:hAnsi="Times New Roman UniToktom" w:cs="Times New Roman UniToktom"/>
                <w:i/>
                <w:sz w:val="24"/>
                <w:szCs w:val="24"/>
                <w:lang w:val="ky-KG"/>
              </w:rPr>
              <w:t> 535,1</w:t>
            </w:r>
            <w:r w:rsidRPr="00207B18">
              <w:rPr>
                <w:rFonts w:ascii="Times New Roman UniToktom" w:hAnsi="Times New Roman UniToktom" w:cs="Times New Roman UniToktom"/>
                <w:i/>
                <w:sz w:val="24"/>
                <w:szCs w:val="24"/>
                <w:lang w:val="ky-KG"/>
              </w:rPr>
              <w:t xml:space="preserve"> млн</w:t>
            </w:r>
            <w:r w:rsidRPr="00207B18">
              <w:rPr>
                <w:rFonts w:ascii="Times New Roman UniToktom" w:hAnsi="Times New Roman UniToktom" w:cs="Times New Roman UniToktom"/>
                <w:i/>
                <w:sz w:val="24"/>
                <w:szCs w:val="24"/>
              </w:rPr>
              <w:t>. сомов, из них</w:t>
            </w:r>
            <w:r w:rsidRPr="00207B18">
              <w:rPr>
                <w:rFonts w:ascii="Times New Roman UniToktom" w:hAnsi="Times New Roman UniToktom" w:cs="Times New Roman UniToktom"/>
                <w:i/>
                <w:sz w:val="24"/>
                <w:szCs w:val="24"/>
                <w:lang w:val="ky-KG"/>
              </w:rPr>
              <w:t xml:space="preserve">: доходы </w:t>
            </w:r>
            <w:r w:rsidRPr="00207B18">
              <w:rPr>
                <w:rFonts w:ascii="Times New Roman UniToktom" w:hAnsi="Times New Roman UniToktom" w:cs="Times New Roman UniToktom"/>
                <w:i/>
                <w:sz w:val="24"/>
                <w:szCs w:val="24"/>
              </w:rPr>
              <w:t>от продажи товаров</w:t>
            </w:r>
            <w:r w:rsidRPr="00207B18">
              <w:rPr>
                <w:rFonts w:ascii="Times New Roman UniToktom" w:hAnsi="Times New Roman UniToktom" w:cs="Times New Roman UniToktom"/>
                <w:i/>
                <w:sz w:val="24"/>
                <w:szCs w:val="24"/>
                <w:lang w:val="ky-KG"/>
              </w:rPr>
              <w:t xml:space="preserve"> и</w:t>
            </w:r>
            <w:r w:rsidRPr="00207B18">
              <w:rPr>
                <w:rFonts w:ascii="Times New Roman UniToktom" w:hAnsi="Times New Roman UniToktom" w:cs="Times New Roman UniToktom"/>
                <w:i/>
                <w:sz w:val="24"/>
                <w:szCs w:val="24"/>
              </w:rPr>
              <w:t xml:space="preserve"> оказания платных услуг</w:t>
            </w:r>
            <w:r w:rsidRPr="00207B18">
              <w:rPr>
                <w:rFonts w:ascii="Times New Roman UniToktom" w:hAnsi="Times New Roman UniToktom" w:cs="Times New Roman UniToktom"/>
                <w:i/>
                <w:sz w:val="24"/>
                <w:szCs w:val="24"/>
                <w:lang w:val="ky-KG"/>
              </w:rPr>
              <w:t xml:space="preserve"> </w:t>
            </w:r>
            <w:r w:rsidRPr="00207B18">
              <w:rPr>
                <w:rFonts w:ascii="Times New Roman UniToktom" w:hAnsi="Times New Roman UniToktom" w:cs="Times New Roman UniToktom"/>
                <w:i/>
                <w:sz w:val="24"/>
                <w:szCs w:val="24"/>
              </w:rPr>
              <w:t>состав</w:t>
            </w:r>
            <w:r w:rsidRPr="00207B18">
              <w:rPr>
                <w:rFonts w:ascii="Times New Roman UniToktom" w:hAnsi="Times New Roman UniToktom" w:cs="Times New Roman UniToktom"/>
                <w:i/>
                <w:sz w:val="24"/>
                <w:szCs w:val="24"/>
                <w:lang w:val="ky-KG"/>
              </w:rPr>
              <w:t>ила 61,</w:t>
            </w:r>
            <w:r w:rsidR="00FB0FAB">
              <w:rPr>
                <w:rFonts w:ascii="Times New Roman UniToktom" w:hAnsi="Times New Roman UniToktom" w:cs="Times New Roman UniToktom"/>
                <w:i/>
                <w:sz w:val="24"/>
                <w:szCs w:val="24"/>
                <w:lang w:val="ky-KG"/>
              </w:rPr>
              <w:t>4</w:t>
            </w:r>
            <w:r w:rsidRPr="00207B18">
              <w:rPr>
                <w:rFonts w:ascii="Times New Roman UniToktom" w:hAnsi="Times New Roman UniToktom" w:cs="Times New Roman UniToktom"/>
                <w:i/>
                <w:sz w:val="24"/>
                <w:szCs w:val="24"/>
              </w:rPr>
              <w:t xml:space="preserve"> процента</w:t>
            </w:r>
            <w:r w:rsidRPr="00207B18">
              <w:rPr>
                <w:rFonts w:ascii="Times New Roman UniToktom" w:hAnsi="Times New Roman UniToktom" w:cs="Times New Roman UniToktom"/>
                <w:i/>
                <w:sz w:val="24"/>
                <w:szCs w:val="24"/>
                <w:lang w:val="ky-KG"/>
              </w:rPr>
              <w:t>,</w:t>
            </w:r>
            <w:r w:rsidRPr="00207B18">
              <w:rPr>
                <w:rFonts w:ascii="Times New Roman UniToktom" w:hAnsi="Times New Roman UniToktom" w:cs="Times New Roman UniToktom"/>
                <w:i/>
                <w:sz w:val="24"/>
                <w:szCs w:val="24"/>
              </w:rPr>
              <w:t xml:space="preserve"> или</w:t>
            </w:r>
            <w:r w:rsidRPr="00207B18">
              <w:rPr>
                <w:rFonts w:ascii="Times New Roman UniToktom" w:hAnsi="Times New Roman UniToktom" w:cs="Times New Roman UniToktom"/>
                <w:i/>
                <w:sz w:val="24"/>
                <w:szCs w:val="24"/>
                <w:lang w:val="ky-KG"/>
              </w:rPr>
              <w:t xml:space="preserve"> </w:t>
            </w:r>
            <w:r w:rsidR="00FB0FAB">
              <w:rPr>
                <w:rFonts w:ascii="Times New Roman UniToktom" w:hAnsi="Times New Roman UniToktom" w:cs="Times New Roman UniToktom"/>
                <w:i/>
                <w:sz w:val="24"/>
                <w:szCs w:val="24"/>
                <w:lang w:val="ky-KG"/>
              </w:rPr>
              <w:t>556,9</w:t>
            </w:r>
            <w:r w:rsidRPr="00207B18">
              <w:rPr>
                <w:rFonts w:ascii="Times New Roman UniToktom" w:hAnsi="Times New Roman UniToktom" w:cs="Times New Roman UniToktom"/>
                <w:i/>
                <w:sz w:val="24"/>
                <w:szCs w:val="24"/>
              </w:rPr>
              <w:t xml:space="preserve"> </w:t>
            </w:r>
            <w:r w:rsidRPr="00207B18">
              <w:rPr>
                <w:rFonts w:ascii="Times New Roman UniToktom" w:hAnsi="Times New Roman UniToktom" w:cs="Times New Roman UniToktom"/>
                <w:i/>
                <w:sz w:val="24"/>
                <w:szCs w:val="24"/>
                <w:lang w:val="ky-KG"/>
              </w:rPr>
              <w:t>млн</w:t>
            </w:r>
            <w:r w:rsidRPr="00207B18">
              <w:rPr>
                <w:rFonts w:ascii="Times New Roman UniToktom" w:hAnsi="Times New Roman UniToktom" w:cs="Times New Roman UniToktom"/>
                <w:i/>
                <w:sz w:val="24"/>
                <w:szCs w:val="24"/>
              </w:rPr>
              <w:t xml:space="preserve">. сомов, </w:t>
            </w:r>
            <w:r w:rsidRPr="00207B18">
              <w:rPr>
                <w:i/>
                <w:sz w:val="24"/>
              </w:rPr>
              <w:t>по сравнению с 20</w:t>
            </w:r>
            <w:r w:rsidR="00FB0FAB">
              <w:rPr>
                <w:i/>
                <w:sz w:val="24"/>
              </w:rPr>
              <w:t>20</w:t>
            </w:r>
            <w:r w:rsidRPr="00207B18">
              <w:rPr>
                <w:i/>
                <w:sz w:val="24"/>
              </w:rPr>
              <w:t xml:space="preserve"> годом </w:t>
            </w:r>
            <w:r w:rsidRPr="00207B18">
              <w:rPr>
                <w:rFonts w:ascii="Times New Roman UniToktom" w:hAnsi="Times New Roman UniToktom" w:cs="Times New Roman UniToktom"/>
                <w:i/>
                <w:sz w:val="24"/>
                <w:szCs w:val="24"/>
              </w:rPr>
              <w:t>неналоговые поступления</w:t>
            </w:r>
            <w:r w:rsidRPr="00207B18">
              <w:rPr>
                <w:rFonts w:ascii="Times New Roman UniToktom" w:hAnsi="Times New Roman UniToktom" w:cs="Times New Roman UniToktom"/>
                <w:i/>
                <w:sz w:val="24"/>
                <w:szCs w:val="24"/>
                <w:lang w:val="ky-KG"/>
              </w:rPr>
              <w:t xml:space="preserve"> увеличили</w:t>
            </w:r>
            <w:r w:rsidRPr="00207B18">
              <w:rPr>
                <w:i/>
                <w:sz w:val="24"/>
                <w:lang w:val="ky-KG"/>
              </w:rPr>
              <w:t>с</w:t>
            </w:r>
            <w:r w:rsidRPr="00207B18">
              <w:rPr>
                <w:i/>
                <w:sz w:val="24"/>
              </w:rPr>
              <w:t>ь в</w:t>
            </w:r>
            <w:r w:rsidRPr="00207B18">
              <w:rPr>
                <w:i/>
                <w:sz w:val="24"/>
                <w:lang w:val="ky-KG"/>
              </w:rPr>
              <w:t xml:space="preserve"> </w:t>
            </w:r>
            <w:r w:rsidR="00182B95" w:rsidRPr="00207B18">
              <w:rPr>
                <w:i/>
                <w:sz w:val="24"/>
                <w:lang w:val="ky-KG"/>
              </w:rPr>
              <w:t>1,9</w:t>
            </w:r>
            <w:r w:rsidRPr="00207B18">
              <w:rPr>
                <w:i/>
                <w:sz w:val="24"/>
                <w:lang w:val="ky-KG"/>
              </w:rPr>
              <w:t xml:space="preserve"> раза</w:t>
            </w:r>
            <w:r w:rsidRPr="00207B18">
              <w:rPr>
                <w:i/>
                <w:sz w:val="24"/>
              </w:rPr>
              <w:t>.</w:t>
            </w:r>
          </w:p>
        </w:tc>
      </w:tr>
      <w:tr w:rsidR="00CD09DA" w:rsidRPr="00947ABD" w14:paraId="21446A54" w14:textId="77777777" w:rsidTr="00372228">
        <w:tc>
          <w:tcPr>
            <w:tcW w:w="4785" w:type="dxa"/>
          </w:tcPr>
          <w:p w14:paraId="6D978575" w14:textId="032457FA" w:rsidR="00CD09DA" w:rsidRPr="00CE232F" w:rsidRDefault="00CD09DA" w:rsidP="00CD09DA">
            <w:pPr>
              <w:pStyle w:val="13"/>
              <w:jc w:val="both"/>
              <w:rPr>
                <w:rFonts w:ascii="Times New Roman UniToktom" w:hAnsi="Times New Roman UniToktom" w:cs="Times New Roman UniToktom"/>
                <w:sz w:val="24"/>
                <w:szCs w:val="24"/>
                <w:lang w:val="ky-KG"/>
              </w:rPr>
            </w:pPr>
            <w:r w:rsidRPr="00CE232F">
              <w:rPr>
                <w:rFonts w:ascii="Times New Roman UniToktom" w:hAnsi="Times New Roman UniToktom" w:cs="Times New Roman UniToktom"/>
                <w:sz w:val="24"/>
                <w:szCs w:val="24"/>
                <w:lang w:val="ky-KG"/>
              </w:rPr>
              <w:t xml:space="preserve">       Республикалык бюджетин бардык чыгымдар бөлүгү 202</w:t>
            </w:r>
            <w:r w:rsidR="00182B95" w:rsidRPr="00CE232F">
              <w:rPr>
                <w:rFonts w:ascii="Times New Roman UniToktom" w:hAnsi="Times New Roman UniToktom" w:cs="Times New Roman UniToktom"/>
                <w:sz w:val="24"/>
                <w:szCs w:val="24"/>
                <w:lang w:val="ky-KG"/>
              </w:rPr>
              <w:t>4</w:t>
            </w:r>
            <w:r w:rsidRPr="00CE232F">
              <w:rPr>
                <w:rFonts w:ascii="Times New Roman UniToktom" w:hAnsi="Times New Roman UniToktom" w:cs="Times New Roman UniToktom"/>
                <w:sz w:val="24"/>
                <w:szCs w:val="24"/>
                <w:lang w:val="ky-KG"/>
              </w:rPr>
              <w:t>-жылы Жалал-Абад облусу боюнча  2</w:t>
            </w:r>
            <w:r w:rsidR="00182B95" w:rsidRPr="00CE232F">
              <w:rPr>
                <w:rFonts w:ascii="Times New Roman UniToktom" w:hAnsi="Times New Roman UniToktom" w:cs="Times New Roman UniToktom"/>
                <w:sz w:val="24"/>
                <w:szCs w:val="24"/>
                <w:lang w:val="ky-KG"/>
              </w:rPr>
              <w:t>8 137,6</w:t>
            </w:r>
            <w:r w:rsidRPr="00CE232F">
              <w:rPr>
                <w:rFonts w:ascii="Times New Roman UniToktom" w:hAnsi="Times New Roman UniToktom" w:cs="Times New Roman UniToktom"/>
                <w:sz w:val="24"/>
                <w:szCs w:val="24"/>
                <w:lang w:val="ky-KG"/>
              </w:rPr>
              <w:t xml:space="preserve"> млн. сом өлчөмүндө аныкталды (</w:t>
            </w:r>
            <w:r w:rsidRPr="00CE232F">
              <w:rPr>
                <w:sz w:val="24"/>
                <w:lang w:val="ky-KG"/>
              </w:rPr>
              <w:t>финансылык эмес активдерди сатып алууга кеткен чыгымдар кошкондо</w:t>
            </w:r>
            <w:r w:rsidRPr="00CE232F">
              <w:rPr>
                <w:sz w:val="24"/>
                <w:szCs w:val="24"/>
                <w:lang w:val="ky-KG"/>
              </w:rPr>
              <w:t>)</w:t>
            </w:r>
            <w:r w:rsidRPr="00CE232F">
              <w:rPr>
                <w:rFonts w:ascii="Times New Roman UniToktom" w:hAnsi="Times New Roman UniToktom" w:cs="Times New Roman UniToktom"/>
                <w:sz w:val="24"/>
                <w:szCs w:val="24"/>
                <w:lang w:val="ky-KG"/>
              </w:rPr>
              <w:t xml:space="preserve">, бул өткөн жылдын ушул мезгилине салыштырмалуу </w:t>
            </w:r>
            <w:r w:rsidR="00182B95" w:rsidRPr="00CE232F">
              <w:rPr>
                <w:rFonts w:ascii="Times New Roman UniToktom" w:hAnsi="Times New Roman UniToktom" w:cs="Times New Roman UniToktom"/>
                <w:sz w:val="24"/>
                <w:szCs w:val="24"/>
                <w:lang w:val="ky-KG"/>
              </w:rPr>
              <w:t>16,1</w:t>
            </w:r>
            <w:r w:rsidRPr="00CE232F">
              <w:rPr>
                <w:rFonts w:ascii="Times New Roman UniToktom" w:hAnsi="Times New Roman UniToktom" w:cs="Times New Roman UniToktom"/>
                <w:sz w:val="24"/>
                <w:szCs w:val="24"/>
                <w:lang w:val="ky-KG"/>
              </w:rPr>
              <w:t xml:space="preserve"> пайызга көбөйгөн, ал эми  20</w:t>
            </w:r>
            <w:r w:rsidR="00182B95" w:rsidRPr="00CE232F">
              <w:rPr>
                <w:rFonts w:ascii="Times New Roman UniToktom" w:hAnsi="Times New Roman UniToktom" w:cs="Times New Roman UniToktom"/>
                <w:sz w:val="24"/>
                <w:szCs w:val="24"/>
                <w:lang w:val="ky-KG"/>
              </w:rPr>
              <w:t>20</w:t>
            </w:r>
            <w:r w:rsidRPr="00CE232F">
              <w:rPr>
                <w:rFonts w:ascii="Times New Roman UniToktom" w:hAnsi="Times New Roman UniToktom" w:cs="Times New Roman UniToktom"/>
                <w:sz w:val="24"/>
                <w:szCs w:val="24"/>
                <w:lang w:val="ky-KG"/>
              </w:rPr>
              <w:t>-жылга салыштырмалуу  2</w:t>
            </w:r>
            <w:r w:rsidR="00FB40C4" w:rsidRPr="00CE232F">
              <w:rPr>
                <w:rFonts w:ascii="Times New Roman UniToktom" w:hAnsi="Times New Roman UniToktom" w:cs="Times New Roman UniToktom"/>
                <w:sz w:val="24"/>
                <w:szCs w:val="24"/>
                <w:lang w:val="ky-KG"/>
              </w:rPr>
              <w:t>,</w:t>
            </w:r>
            <w:r w:rsidR="00257F5F" w:rsidRPr="00CE232F">
              <w:rPr>
                <w:rFonts w:ascii="Times New Roman UniToktom" w:hAnsi="Times New Roman UniToktom" w:cs="Times New Roman UniToktom"/>
                <w:sz w:val="24"/>
                <w:szCs w:val="24"/>
                <w:lang w:val="ky-KG"/>
              </w:rPr>
              <w:t>3</w:t>
            </w:r>
            <w:r w:rsidRPr="00CE232F">
              <w:rPr>
                <w:rFonts w:ascii="Times New Roman UniToktom" w:hAnsi="Times New Roman UniToktom" w:cs="Times New Roman UniToktom"/>
                <w:sz w:val="24"/>
                <w:szCs w:val="24"/>
                <w:lang w:val="ky-KG"/>
              </w:rPr>
              <w:t xml:space="preserve"> эсеге  көбөйгөн. Анын ичинен: операциялык ишмердиктен жүргүзүүгө кеткен чыгымдар чыгаша 2</w:t>
            </w:r>
            <w:r w:rsidR="00257F5F" w:rsidRPr="00CE232F">
              <w:rPr>
                <w:rFonts w:ascii="Times New Roman UniToktom" w:hAnsi="Times New Roman UniToktom" w:cs="Times New Roman UniToktom"/>
                <w:sz w:val="24"/>
                <w:szCs w:val="24"/>
                <w:lang w:val="ky-KG"/>
              </w:rPr>
              <w:t>4 539,2</w:t>
            </w:r>
            <w:r w:rsidRPr="00CE232F">
              <w:rPr>
                <w:rFonts w:ascii="Times New Roman UniToktom" w:hAnsi="Times New Roman UniToktom" w:cs="Times New Roman UniToktom"/>
                <w:sz w:val="24"/>
                <w:szCs w:val="24"/>
                <w:lang w:val="ky-KG"/>
              </w:rPr>
              <w:t xml:space="preserve"> млн. сомду же </w:t>
            </w:r>
            <w:r w:rsidR="00257F5F" w:rsidRPr="00CE232F">
              <w:rPr>
                <w:rFonts w:ascii="Times New Roman UniToktom" w:hAnsi="Times New Roman UniToktom" w:cs="Times New Roman UniToktom"/>
                <w:sz w:val="24"/>
                <w:szCs w:val="24"/>
                <w:lang w:val="ky-KG"/>
              </w:rPr>
              <w:t>87,2</w:t>
            </w:r>
            <w:r w:rsidRPr="00CE232F">
              <w:rPr>
                <w:rFonts w:ascii="Times New Roman UniToktom" w:hAnsi="Times New Roman UniToktom" w:cs="Times New Roman UniToktom"/>
                <w:sz w:val="24"/>
                <w:szCs w:val="24"/>
                <w:lang w:val="ky-KG"/>
              </w:rPr>
              <w:t xml:space="preserve"> пайызды түздү.</w:t>
            </w:r>
          </w:p>
        </w:tc>
        <w:tc>
          <w:tcPr>
            <w:tcW w:w="4854" w:type="dxa"/>
          </w:tcPr>
          <w:p w14:paraId="68E7D788" w14:textId="4EE3EF2F" w:rsidR="00CD09DA" w:rsidRPr="00207B18" w:rsidRDefault="00CD09DA" w:rsidP="00CD09DA">
            <w:pPr>
              <w:pStyle w:val="24"/>
              <w:jc w:val="both"/>
              <w:rPr>
                <w:rFonts w:ascii="Times New Roman UniToktom" w:hAnsi="Times New Roman UniToktom" w:cs="Times New Roman UniToktom"/>
                <w:i/>
                <w:sz w:val="24"/>
                <w:szCs w:val="24"/>
              </w:rPr>
            </w:pPr>
            <w:r w:rsidRPr="00207B18">
              <w:rPr>
                <w:i/>
                <w:sz w:val="24"/>
                <w:szCs w:val="24"/>
                <w:lang w:val="ky-KG"/>
              </w:rPr>
              <w:t xml:space="preserve">       Р</w:t>
            </w:r>
            <w:proofErr w:type="spellStart"/>
            <w:r w:rsidRPr="00207B18">
              <w:rPr>
                <w:i/>
                <w:sz w:val="24"/>
                <w:szCs w:val="24"/>
              </w:rPr>
              <w:t>асходная</w:t>
            </w:r>
            <w:proofErr w:type="spellEnd"/>
            <w:r w:rsidRPr="00207B18">
              <w:rPr>
                <w:i/>
                <w:sz w:val="24"/>
                <w:szCs w:val="24"/>
              </w:rPr>
              <w:t xml:space="preserve"> часть </w:t>
            </w:r>
            <w:r w:rsidRPr="00207B18">
              <w:rPr>
                <w:rFonts w:ascii="Times New Roman UniToktom" w:hAnsi="Times New Roman UniToktom" w:cs="Times New Roman UniToktom"/>
                <w:i/>
                <w:sz w:val="24"/>
                <w:szCs w:val="24"/>
              </w:rPr>
              <w:t xml:space="preserve">республиканского бюджета </w:t>
            </w:r>
            <w:r w:rsidRPr="00207B18">
              <w:rPr>
                <w:rFonts w:ascii="Times New Roman UniToktom" w:hAnsi="Times New Roman UniToktom" w:cs="Times New Roman UniToktom"/>
                <w:i/>
                <w:sz w:val="24"/>
                <w:szCs w:val="24"/>
                <w:lang w:val="ky-KG"/>
              </w:rPr>
              <w:t xml:space="preserve"> Джалал-Абадской</w:t>
            </w:r>
            <w:r w:rsidRPr="00207B18">
              <w:rPr>
                <w:rFonts w:ascii="Times New Roman UniToktom" w:hAnsi="Times New Roman UniToktom" w:cs="Times New Roman UniToktom"/>
                <w:i/>
                <w:sz w:val="24"/>
                <w:szCs w:val="24"/>
              </w:rPr>
              <w:t xml:space="preserve"> области</w:t>
            </w:r>
            <w:r w:rsidRPr="00207B18">
              <w:rPr>
                <w:rFonts w:ascii="Times New Roman UniToktom" w:hAnsi="Times New Roman UniToktom" w:cs="Times New Roman UniToktom"/>
                <w:i/>
                <w:sz w:val="24"/>
                <w:szCs w:val="24"/>
                <w:lang w:val="ky-KG"/>
              </w:rPr>
              <w:t xml:space="preserve"> </w:t>
            </w:r>
            <w:r w:rsidRPr="00207B18">
              <w:rPr>
                <w:i/>
                <w:sz w:val="24"/>
                <w:szCs w:val="24"/>
                <w:lang w:val="ky-KG"/>
              </w:rPr>
              <w:t>в</w:t>
            </w:r>
            <w:r w:rsidRPr="00207B18">
              <w:rPr>
                <w:rFonts w:ascii="Times New Roman UniToktom" w:hAnsi="Times New Roman UniToktom" w:cs="Times New Roman UniToktom"/>
                <w:i/>
                <w:sz w:val="24"/>
                <w:szCs w:val="24"/>
              </w:rPr>
              <w:t xml:space="preserve"> 20</w:t>
            </w:r>
            <w:r w:rsidRPr="00207B18">
              <w:rPr>
                <w:rFonts w:ascii="Times New Roman UniToktom" w:hAnsi="Times New Roman UniToktom" w:cs="Times New Roman UniToktom"/>
                <w:i/>
                <w:sz w:val="24"/>
                <w:szCs w:val="24"/>
                <w:lang w:val="ky-KG"/>
              </w:rPr>
              <w:t>2</w:t>
            </w:r>
            <w:r w:rsidR="00FB0FAB">
              <w:rPr>
                <w:rFonts w:ascii="Times New Roman UniToktom" w:hAnsi="Times New Roman UniToktom" w:cs="Times New Roman UniToktom"/>
                <w:i/>
                <w:sz w:val="24"/>
                <w:szCs w:val="24"/>
                <w:lang w:val="ky-KG"/>
              </w:rPr>
              <w:t>4</w:t>
            </w:r>
            <w:r w:rsidRPr="00207B18">
              <w:rPr>
                <w:rFonts w:ascii="Times New Roman UniToktom" w:hAnsi="Times New Roman UniToktom" w:cs="Times New Roman UniToktom"/>
                <w:i/>
                <w:sz w:val="24"/>
                <w:szCs w:val="24"/>
              </w:rPr>
              <w:t xml:space="preserve"> год</w:t>
            </w:r>
            <w:r w:rsidRPr="00207B18">
              <w:rPr>
                <w:rFonts w:ascii="Times New Roman UniToktom" w:hAnsi="Times New Roman UniToktom" w:cs="Times New Roman UniToktom"/>
                <w:i/>
                <w:sz w:val="24"/>
                <w:szCs w:val="24"/>
                <w:lang w:val="ky-KG"/>
              </w:rPr>
              <w:t xml:space="preserve">у </w:t>
            </w:r>
            <w:r w:rsidRPr="00207B18">
              <w:rPr>
                <w:i/>
                <w:sz w:val="24"/>
                <w:szCs w:val="24"/>
              </w:rPr>
              <w:t>(включая расходы на приобретение нефинансовых активов) исполнена в сумме</w:t>
            </w:r>
            <w:r w:rsidRPr="00207B18">
              <w:rPr>
                <w:i/>
                <w:sz w:val="24"/>
                <w:szCs w:val="24"/>
                <w:lang w:val="ky-KG"/>
              </w:rPr>
              <w:t xml:space="preserve"> </w:t>
            </w:r>
            <w:r w:rsidRPr="00207B18">
              <w:rPr>
                <w:rFonts w:ascii="Times New Roman UniToktom" w:hAnsi="Times New Roman UniToktom" w:cs="Times New Roman UniToktom"/>
                <w:i/>
                <w:sz w:val="24"/>
                <w:szCs w:val="24"/>
                <w:lang w:val="ky-KG"/>
              </w:rPr>
              <w:t>2</w:t>
            </w:r>
            <w:r w:rsidR="00FB0FAB">
              <w:rPr>
                <w:rFonts w:ascii="Times New Roman UniToktom" w:hAnsi="Times New Roman UniToktom" w:cs="Times New Roman UniToktom"/>
                <w:i/>
                <w:sz w:val="24"/>
                <w:szCs w:val="24"/>
                <w:lang w:val="ky-KG"/>
              </w:rPr>
              <w:t>8 137,6</w:t>
            </w:r>
            <w:r w:rsidRPr="00207B18">
              <w:rPr>
                <w:rFonts w:ascii="Times New Roman UniToktom" w:hAnsi="Times New Roman UniToktom" w:cs="Times New Roman UniToktom"/>
                <w:i/>
                <w:sz w:val="24"/>
                <w:szCs w:val="24"/>
                <w:lang w:val="ky-KG"/>
              </w:rPr>
              <w:t xml:space="preserve"> </w:t>
            </w:r>
            <w:r w:rsidRPr="00207B18">
              <w:rPr>
                <w:rFonts w:ascii="Times New Roman UniToktom" w:hAnsi="Times New Roman UniToktom" w:cs="Times New Roman UniToktom"/>
                <w:i/>
                <w:sz w:val="24"/>
                <w:szCs w:val="24"/>
              </w:rPr>
              <w:t xml:space="preserve">млн. сомов, что </w:t>
            </w:r>
            <w:r w:rsidRPr="00207B18">
              <w:rPr>
                <w:rFonts w:ascii="Times New Roman UniToktom" w:hAnsi="Times New Roman UniToktom" w:cs="Times New Roman UniToktom"/>
                <w:i/>
                <w:sz w:val="24"/>
                <w:szCs w:val="24"/>
                <w:lang w:val="ky-KG"/>
              </w:rPr>
              <w:t xml:space="preserve">на </w:t>
            </w:r>
            <w:r w:rsidR="00C4027E">
              <w:rPr>
                <w:rFonts w:ascii="Times New Roman UniToktom" w:hAnsi="Times New Roman UniToktom" w:cs="Times New Roman UniToktom"/>
                <w:i/>
                <w:sz w:val="24"/>
                <w:szCs w:val="24"/>
                <w:lang w:val="ky-KG"/>
              </w:rPr>
              <w:t>16,1</w:t>
            </w:r>
            <w:r w:rsidRPr="00207B18">
              <w:rPr>
                <w:rFonts w:ascii="Times New Roman UniToktom" w:hAnsi="Times New Roman UniToktom" w:cs="Times New Roman UniToktom"/>
                <w:i/>
                <w:sz w:val="24"/>
                <w:szCs w:val="24"/>
                <w:lang w:val="ky-KG"/>
              </w:rPr>
              <w:t xml:space="preserve"> процент больше,</w:t>
            </w:r>
            <w:r w:rsidRPr="00207B18">
              <w:rPr>
                <w:rFonts w:ascii="Times New Roman UniToktom" w:hAnsi="Times New Roman UniToktom" w:cs="Times New Roman UniToktom"/>
                <w:i/>
                <w:sz w:val="24"/>
                <w:szCs w:val="24"/>
              </w:rPr>
              <w:t xml:space="preserve"> чем в соответствующем периоде прошлого </w:t>
            </w:r>
            <w:proofErr w:type="gramStart"/>
            <w:r w:rsidRPr="00207B18">
              <w:rPr>
                <w:rFonts w:ascii="Times New Roman UniToktom" w:hAnsi="Times New Roman UniToktom" w:cs="Times New Roman UniToktom"/>
                <w:i/>
                <w:sz w:val="24"/>
                <w:szCs w:val="24"/>
              </w:rPr>
              <w:t>года</w:t>
            </w:r>
            <w:r w:rsidRPr="00207B18">
              <w:rPr>
                <w:rFonts w:ascii="Times New Roman UniToktom" w:hAnsi="Times New Roman UniToktom" w:cs="Times New Roman UniToktom"/>
                <w:i/>
                <w:sz w:val="24"/>
                <w:szCs w:val="24"/>
                <w:lang w:val="ky-KG"/>
              </w:rPr>
              <w:t>,  а</w:t>
            </w:r>
            <w:proofErr w:type="gramEnd"/>
            <w:r w:rsidRPr="00207B18">
              <w:rPr>
                <w:rFonts w:ascii="Times New Roman UniToktom" w:hAnsi="Times New Roman UniToktom" w:cs="Times New Roman UniToktom"/>
                <w:i/>
                <w:sz w:val="24"/>
                <w:szCs w:val="24"/>
                <w:lang w:val="ky-KG"/>
              </w:rPr>
              <w:t xml:space="preserve"> в 20</w:t>
            </w:r>
            <w:r w:rsidR="00C4027E">
              <w:rPr>
                <w:rFonts w:ascii="Times New Roman UniToktom" w:hAnsi="Times New Roman UniToktom" w:cs="Times New Roman UniToktom"/>
                <w:i/>
                <w:sz w:val="24"/>
                <w:szCs w:val="24"/>
                <w:lang w:val="ky-KG"/>
              </w:rPr>
              <w:t>20</w:t>
            </w:r>
            <w:r w:rsidRPr="00207B18">
              <w:rPr>
                <w:rFonts w:ascii="Times New Roman UniToktom" w:hAnsi="Times New Roman UniToktom" w:cs="Times New Roman UniToktom"/>
                <w:i/>
                <w:sz w:val="24"/>
                <w:szCs w:val="24"/>
                <w:lang w:val="ky-KG"/>
              </w:rPr>
              <w:t xml:space="preserve"> году – </w:t>
            </w:r>
            <w:proofErr w:type="gramStart"/>
            <w:r w:rsidRPr="00207B18">
              <w:rPr>
                <w:rFonts w:ascii="Times New Roman UniToktom" w:hAnsi="Times New Roman UniToktom" w:cs="Times New Roman UniToktom"/>
                <w:i/>
                <w:sz w:val="24"/>
                <w:szCs w:val="24"/>
                <w:lang w:val="ky-KG"/>
              </w:rPr>
              <w:t xml:space="preserve">в </w:t>
            </w:r>
            <w:r w:rsidRPr="00207B18">
              <w:rPr>
                <w:i/>
                <w:sz w:val="24"/>
              </w:rPr>
              <w:t xml:space="preserve"> </w:t>
            </w:r>
            <w:r w:rsidRPr="00207B18">
              <w:rPr>
                <w:i/>
                <w:sz w:val="24"/>
                <w:lang w:val="ky-KG"/>
              </w:rPr>
              <w:t>2</w:t>
            </w:r>
            <w:proofErr w:type="gramEnd"/>
            <w:r w:rsidRPr="00207B18">
              <w:rPr>
                <w:i/>
                <w:sz w:val="24"/>
                <w:lang w:val="ky-KG"/>
              </w:rPr>
              <w:t>,</w:t>
            </w:r>
            <w:r w:rsidR="00C4027E">
              <w:rPr>
                <w:i/>
                <w:sz w:val="24"/>
                <w:lang w:val="ky-KG"/>
              </w:rPr>
              <w:t>3</w:t>
            </w:r>
            <w:r w:rsidRPr="00207B18">
              <w:rPr>
                <w:i/>
                <w:sz w:val="24"/>
                <w:lang w:val="ky-KG"/>
              </w:rPr>
              <w:t xml:space="preserve"> раза</w:t>
            </w:r>
            <w:r w:rsidRPr="00207B18">
              <w:rPr>
                <w:i/>
                <w:sz w:val="24"/>
              </w:rPr>
              <w:t>.</w:t>
            </w:r>
            <w:r w:rsidRPr="00207B18">
              <w:rPr>
                <w:i/>
                <w:sz w:val="24"/>
                <w:lang w:val="ky-KG"/>
              </w:rPr>
              <w:t xml:space="preserve"> В</w:t>
            </w:r>
            <w:r w:rsidRPr="00207B18">
              <w:rPr>
                <w:rFonts w:ascii="Times New Roman UniToktom" w:hAnsi="Times New Roman UniToktom" w:cs="Times New Roman UniToktom"/>
                <w:i/>
                <w:sz w:val="24"/>
                <w:szCs w:val="24"/>
              </w:rPr>
              <w:t xml:space="preserve"> том числе</w:t>
            </w:r>
            <w:r w:rsidRPr="00207B18">
              <w:rPr>
                <w:rFonts w:ascii="Times New Roman UniToktom" w:hAnsi="Times New Roman UniToktom" w:cs="Times New Roman UniToktom"/>
                <w:i/>
                <w:sz w:val="24"/>
                <w:szCs w:val="24"/>
                <w:lang w:val="ky-KG"/>
              </w:rPr>
              <w:t>:</w:t>
            </w:r>
            <w:r w:rsidRPr="00207B18">
              <w:rPr>
                <w:rFonts w:ascii="Times New Roman UniToktom" w:hAnsi="Times New Roman UniToktom" w:cs="Times New Roman UniToktom"/>
                <w:i/>
                <w:sz w:val="24"/>
                <w:szCs w:val="24"/>
              </w:rPr>
              <w:t xml:space="preserve"> расходы </w:t>
            </w:r>
            <w:r w:rsidRPr="00207B18">
              <w:rPr>
                <w:rFonts w:ascii="Times New Roman UniToktom" w:hAnsi="Times New Roman UniToktom" w:cs="Times New Roman UniToktom"/>
                <w:i/>
                <w:sz w:val="24"/>
                <w:szCs w:val="24"/>
                <w:lang w:val="ky-KG"/>
              </w:rPr>
              <w:t>для проведения операционной</w:t>
            </w:r>
            <w:r w:rsidRPr="00207B18">
              <w:rPr>
                <w:rFonts w:ascii="Times New Roman UniToktom" w:hAnsi="Times New Roman UniToktom" w:cs="Times New Roman UniToktom"/>
                <w:i/>
                <w:sz w:val="24"/>
                <w:szCs w:val="24"/>
              </w:rPr>
              <w:t xml:space="preserve"> деятельности составили </w:t>
            </w:r>
            <w:r w:rsidRPr="00207B18">
              <w:rPr>
                <w:rFonts w:ascii="Times New Roman UniToktom" w:hAnsi="Times New Roman UniToktom" w:cs="Times New Roman UniToktom"/>
                <w:i/>
                <w:sz w:val="24"/>
                <w:szCs w:val="24"/>
                <w:lang w:val="ky-KG"/>
              </w:rPr>
              <w:t>8</w:t>
            </w:r>
            <w:r w:rsidR="00C4027E">
              <w:rPr>
                <w:rFonts w:ascii="Times New Roman UniToktom" w:hAnsi="Times New Roman UniToktom" w:cs="Times New Roman UniToktom"/>
                <w:i/>
                <w:sz w:val="24"/>
                <w:szCs w:val="24"/>
                <w:lang w:val="ky-KG"/>
              </w:rPr>
              <w:t>7,2</w:t>
            </w:r>
            <w:r w:rsidRPr="00207B18">
              <w:rPr>
                <w:rFonts w:ascii="Times New Roman UniToktom" w:hAnsi="Times New Roman UniToktom" w:cs="Times New Roman UniToktom"/>
                <w:i/>
                <w:sz w:val="24"/>
                <w:szCs w:val="24"/>
              </w:rPr>
              <w:t xml:space="preserve"> процента или </w:t>
            </w:r>
            <w:r w:rsidR="00C4027E">
              <w:rPr>
                <w:rFonts w:ascii="Times New Roman UniToktom" w:hAnsi="Times New Roman UniToktom" w:cs="Times New Roman UniToktom"/>
                <w:i/>
                <w:sz w:val="24"/>
                <w:szCs w:val="24"/>
              </w:rPr>
              <w:t>24 539,2</w:t>
            </w:r>
            <w:r w:rsidRPr="00207B18">
              <w:rPr>
                <w:rFonts w:ascii="Times New Roman UniToktom" w:hAnsi="Times New Roman UniToktom" w:cs="Times New Roman UniToktom"/>
                <w:i/>
                <w:sz w:val="24"/>
                <w:szCs w:val="24"/>
                <w:lang w:val="ky-KG"/>
              </w:rPr>
              <w:t xml:space="preserve"> млн</w:t>
            </w:r>
            <w:r w:rsidRPr="00207B18">
              <w:rPr>
                <w:rFonts w:ascii="Times New Roman UniToktom" w:hAnsi="Times New Roman UniToktom" w:cs="Times New Roman UniToktom"/>
                <w:i/>
                <w:sz w:val="24"/>
                <w:szCs w:val="24"/>
              </w:rPr>
              <w:t>. сомов</w:t>
            </w:r>
            <w:r w:rsidRPr="00207B18">
              <w:rPr>
                <w:rFonts w:ascii="Times New Roman UniToktom" w:hAnsi="Times New Roman UniToktom" w:cs="Times New Roman UniToktom"/>
                <w:i/>
                <w:sz w:val="24"/>
                <w:szCs w:val="24"/>
                <w:lang w:val="ky-KG"/>
              </w:rPr>
              <w:t>.</w:t>
            </w:r>
          </w:p>
        </w:tc>
      </w:tr>
      <w:tr w:rsidR="00CD09DA" w:rsidRPr="00947ABD" w14:paraId="5DB5192C" w14:textId="77777777" w:rsidTr="00372228">
        <w:tc>
          <w:tcPr>
            <w:tcW w:w="4785" w:type="dxa"/>
          </w:tcPr>
          <w:p w14:paraId="48DE2D6B" w14:textId="64E7E90F" w:rsidR="00CD09DA" w:rsidRPr="00CE232F" w:rsidRDefault="00CD09DA" w:rsidP="00CD09DA">
            <w:pPr>
              <w:pStyle w:val="13"/>
              <w:jc w:val="both"/>
              <w:rPr>
                <w:rFonts w:ascii="Times New Roman UniToktom" w:hAnsi="Times New Roman UniToktom" w:cs="Times New Roman UniToktom"/>
                <w:sz w:val="24"/>
                <w:szCs w:val="24"/>
                <w:lang w:val="ky-KG"/>
              </w:rPr>
            </w:pPr>
            <w:r w:rsidRPr="00CE232F">
              <w:rPr>
                <w:rFonts w:ascii="Times New Roman UniToktom" w:hAnsi="Times New Roman UniToktom" w:cs="Times New Roman UniToktom"/>
                <w:sz w:val="24"/>
                <w:szCs w:val="24"/>
                <w:lang w:val="ky-KG"/>
              </w:rPr>
              <w:t xml:space="preserve">       Социалдык-маданият чөйрөсүнө кеткен операциялык чыгымдар </w:t>
            </w:r>
            <w:r w:rsidR="000D6A18" w:rsidRPr="00CE232F">
              <w:rPr>
                <w:rFonts w:ascii="Times New Roman UniToktom" w:hAnsi="Times New Roman UniToktom" w:cs="Times New Roman UniToktom"/>
                <w:sz w:val="24"/>
                <w:szCs w:val="24"/>
                <w:lang w:val="ky-KG"/>
              </w:rPr>
              <w:t>7</w:t>
            </w:r>
            <w:r w:rsidR="00133C64" w:rsidRPr="00CE232F">
              <w:rPr>
                <w:rFonts w:ascii="Times New Roman UniToktom" w:hAnsi="Times New Roman UniToktom" w:cs="Times New Roman UniToktom"/>
                <w:sz w:val="24"/>
                <w:szCs w:val="24"/>
                <w:lang w:val="ky-KG"/>
              </w:rPr>
              <w:t>7</w:t>
            </w:r>
            <w:r w:rsidR="000D6A18" w:rsidRPr="00CE232F">
              <w:rPr>
                <w:rFonts w:ascii="Times New Roman UniToktom" w:hAnsi="Times New Roman UniToktom" w:cs="Times New Roman UniToktom"/>
                <w:sz w:val="24"/>
                <w:szCs w:val="24"/>
                <w:lang w:val="ky-KG"/>
              </w:rPr>
              <w:t>,</w:t>
            </w:r>
            <w:r w:rsidR="00133C64" w:rsidRPr="00CE232F">
              <w:rPr>
                <w:rFonts w:ascii="Times New Roman UniToktom" w:hAnsi="Times New Roman UniToktom" w:cs="Times New Roman UniToktom"/>
                <w:sz w:val="24"/>
                <w:szCs w:val="24"/>
                <w:lang w:val="ky-KG"/>
              </w:rPr>
              <w:t>8</w:t>
            </w:r>
            <w:r w:rsidRPr="00CE232F">
              <w:rPr>
                <w:rFonts w:ascii="Times New Roman UniToktom" w:hAnsi="Times New Roman UniToktom" w:cs="Times New Roman UniToktom"/>
                <w:sz w:val="24"/>
                <w:szCs w:val="24"/>
                <w:lang w:val="ky-KG"/>
              </w:rPr>
              <w:t xml:space="preserve"> </w:t>
            </w:r>
          </w:p>
          <w:p w14:paraId="58AFDDE6" w14:textId="06310095" w:rsidR="00CD09DA" w:rsidRPr="00CE232F" w:rsidRDefault="00CD09DA" w:rsidP="000D6A18">
            <w:pPr>
              <w:pStyle w:val="13"/>
              <w:jc w:val="both"/>
              <w:rPr>
                <w:rFonts w:ascii="Times New Roman UniToktom" w:hAnsi="Times New Roman UniToktom" w:cs="Times New Roman UniToktom"/>
                <w:sz w:val="24"/>
                <w:szCs w:val="24"/>
                <w:lang w:val="ky-KG"/>
              </w:rPr>
            </w:pPr>
            <w:r w:rsidRPr="00CE232F">
              <w:rPr>
                <w:rFonts w:ascii="Times New Roman UniToktom" w:hAnsi="Times New Roman UniToktom" w:cs="Times New Roman UniToktom"/>
                <w:sz w:val="24"/>
                <w:szCs w:val="24"/>
                <w:lang w:val="ky-KG"/>
              </w:rPr>
              <w:t xml:space="preserve">пайызды же </w:t>
            </w:r>
            <w:r w:rsidR="00257F5F" w:rsidRPr="00CE232F">
              <w:rPr>
                <w:rFonts w:ascii="Times New Roman UniToktom" w:hAnsi="Times New Roman UniToktom" w:cs="Times New Roman UniToktom"/>
                <w:sz w:val="24"/>
                <w:szCs w:val="24"/>
                <w:lang w:val="ky-KG"/>
              </w:rPr>
              <w:t>1</w:t>
            </w:r>
            <w:r w:rsidR="00133C64" w:rsidRPr="00CE232F">
              <w:rPr>
                <w:rFonts w:ascii="Times New Roman UniToktom" w:hAnsi="Times New Roman UniToktom" w:cs="Times New Roman UniToktom"/>
                <w:sz w:val="24"/>
                <w:szCs w:val="24"/>
                <w:lang w:val="ky-KG"/>
              </w:rPr>
              <w:t>9 090,9</w:t>
            </w:r>
            <w:r w:rsidRPr="00CE232F">
              <w:rPr>
                <w:rFonts w:ascii="Times New Roman UniToktom" w:hAnsi="Times New Roman UniToktom" w:cs="Times New Roman UniToktom"/>
                <w:sz w:val="24"/>
                <w:szCs w:val="24"/>
                <w:lang w:val="ky-KG"/>
              </w:rPr>
              <w:t xml:space="preserve"> млн. сомду түздү, мындан тышкары, мамлекеттик тейлөөгө, коомдук тартип жана коопсуздукка кеткен чыгымдар </w:t>
            </w:r>
            <w:r w:rsidR="00257F5F" w:rsidRPr="00CE232F">
              <w:rPr>
                <w:rFonts w:ascii="Times New Roman UniToktom" w:hAnsi="Times New Roman UniToktom" w:cs="Times New Roman UniToktom"/>
                <w:sz w:val="24"/>
                <w:szCs w:val="24"/>
                <w:lang w:val="ky-KG"/>
              </w:rPr>
              <w:t>17,9</w:t>
            </w:r>
            <w:r w:rsidRPr="00CE232F">
              <w:rPr>
                <w:rFonts w:ascii="Times New Roman UniToktom" w:hAnsi="Times New Roman UniToktom" w:cs="Times New Roman UniToktom"/>
                <w:sz w:val="24"/>
                <w:szCs w:val="24"/>
                <w:lang w:val="ky-KG"/>
              </w:rPr>
              <w:t xml:space="preserve"> пайызды түзүп 4</w:t>
            </w:r>
            <w:r w:rsidR="00207B18">
              <w:rPr>
                <w:rFonts w:ascii="Times New Roman UniToktom" w:hAnsi="Times New Roman UniToktom" w:cs="Times New Roman UniToktom"/>
                <w:sz w:val="24"/>
                <w:szCs w:val="24"/>
                <w:lang w:val="ky-KG"/>
              </w:rPr>
              <w:t xml:space="preserve"> </w:t>
            </w:r>
            <w:r w:rsidRPr="00CE232F">
              <w:rPr>
                <w:rFonts w:ascii="Times New Roman UniToktom" w:hAnsi="Times New Roman UniToktom" w:cs="Times New Roman UniToktom"/>
                <w:sz w:val="24"/>
                <w:szCs w:val="24"/>
                <w:lang w:val="ky-KG"/>
              </w:rPr>
              <w:t>39</w:t>
            </w:r>
            <w:r w:rsidR="00133C64" w:rsidRPr="00CE232F">
              <w:rPr>
                <w:rFonts w:ascii="Times New Roman UniToktom" w:hAnsi="Times New Roman UniToktom" w:cs="Times New Roman UniToktom"/>
                <w:sz w:val="24"/>
                <w:szCs w:val="24"/>
                <w:lang w:val="ky-KG"/>
              </w:rPr>
              <w:t>6</w:t>
            </w:r>
            <w:r w:rsidRPr="00CE232F">
              <w:rPr>
                <w:rFonts w:ascii="Times New Roman UniToktom" w:hAnsi="Times New Roman UniToktom" w:cs="Times New Roman UniToktom"/>
                <w:sz w:val="24"/>
                <w:szCs w:val="24"/>
                <w:lang w:val="ky-KG"/>
              </w:rPr>
              <w:t>,</w:t>
            </w:r>
            <w:r w:rsidR="00133C64" w:rsidRPr="00CE232F">
              <w:rPr>
                <w:rFonts w:ascii="Times New Roman UniToktom" w:hAnsi="Times New Roman UniToktom" w:cs="Times New Roman UniToktom"/>
                <w:sz w:val="24"/>
                <w:szCs w:val="24"/>
                <w:lang w:val="ky-KG"/>
              </w:rPr>
              <w:t>9</w:t>
            </w:r>
            <w:r w:rsidRPr="00CE232F">
              <w:rPr>
                <w:rFonts w:ascii="Times New Roman UniToktom" w:hAnsi="Times New Roman UniToktom" w:cs="Times New Roman UniToktom"/>
                <w:sz w:val="24"/>
                <w:szCs w:val="24"/>
                <w:lang w:val="ky-KG"/>
              </w:rPr>
              <w:t xml:space="preserve">  млн. сом болду, экономикалык маселелерге </w:t>
            </w:r>
            <w:r w:rsidR="000D6A18" w:rsidRPr="00CE232F">
              <w:rPr>
                <w:rFonts w:ascii="Times New Roman UniToktom" w:hAnsi="Times New Roman UniToktom" w:cs="Times New Roman UniToktom"/>
                <w:sz w:val="24"/>
                <w:szCs w:val="24"/>
                <w:lang w:val="ky-KG"/>
              </w:rPr>
              <w:t>4,</w:t>
            </w:r>
            <w:r w:rsidR="00257F5F" w:rsidRPr="00CE232F">
              <w:rPr>
                <w:rFonts w:ascii="Times New Roman UniToktom" w:hAnsi="Times New Roman UniToktom" w:cs="Times New Roman UniToktom"/>
                <w:sz w:val="24"/>
                <w:szCs w:val="24"/>
                <w:lang w:val="ky-KG"/>
              </w:rPr>
              <w:t>2</w:t>
            </w:r>
            <w:r w:rsidRPr="00CE232F">
              <w:rPr>
                <w:rFonts w:ascii="Times New Roman UniToktom" w:hAnsi="Times New Roman UniToktom" w:cs="Times New Roman UniToktom"/>
                <w:sz w:val="24"/>
                <w:szCs w:val="24"/>
                <w:lang w:val="ky-KG"/>
              </w:rPr>
              <w:t xml:space="preserve"> пайызды түзүп </w:t>
            </w:r>
            <w:r w:rsidR="00257F5F" w:rsidRPr="00CE232F">
              <w:rPr>
                <w:rFonts w:ascii="Times New Roman UniToktom" w:hAnsi="Times New Roman UniToktom" w:cs="Times New Roman UniToktom"/>
                <w:sz w:val="24"/>
                <w:szCs w:val="24"/>
                <w:lang w:val="ky-KG"/>
              </w:rPr>
              <w:t>1</w:t>
            </w:r>
            <w:r w:rsidR="00207B18">
              <w:rPr>
                <w:rFonts w:ascii="Times New Roman UniToktom" w:hAnsi="Times New Roman UniToktom" w:cs="Times New Roman UniToktom"/>
                <w:sz w:val="24"/>
                <w:szCs w:val="24"/>
                <w:lang w:val="ky-KG"/>
              </w:rPr>
              <w:t xml:space="preserve"> </w:t>
            </w:r>
            <w:r w:rsidR="00257F5F" w:rsidRPr="00CE232F">
              <w:rPr>
                <w:rFonts w:ascii="Times New Roman UniToktom" w:hAnsi="Times New Roman UniToktom" w:cs="Times New Roman UniToktom"/>
                <w:sz w:val="24"/>
                <w:szCs w:val="24"/>
                <w:lang w:val="ky-KG"/>
              </w:rPr>
              <w:t>051,4</w:t>
            </w:r>
            <w:r w:rsidRPr="00CE232F">
              <w:rPr>
                <w:rFonts w:ascii="Times New Roman UniToktom" w:hAnsi="Times New Roman UniToktom" w:cs="Times New Roman UniToktom"/>
                <w:sz w:val="24"/>
                <w:szCs w:val="24"/>
                <w:lang w:val="ky-KG"/>
              </w:rPr>
              <w:t xml:space="preserve"> млн. сом болду.</w:t>
            </w:r>
          </w:p>
        </w:tc>
        <w:tc>
          <w:tcPr>
            <w:tcW w:w="4854" w:type="dxa"/>
          </w:tcPr>
          <w:p w14:paraId="6DE0A209" w14:textId="5C2BFF4D" w:rsidR="00CD09DA" w:rsidRPr="00207B18" w:rsidRDefault="00CD09DA" w:rsidP="00CD09DA">
            <w:pPr>
              <w:pStyle w:val="1"/>
              <w:jc w:val="both"/>
              <w:rPr>
                <w:rFonts w:ascii="Times New Roman UniToktom" w:hAnsi="Times New Roman UniToktom" w:cs="Times New Roman UniToktom"/>
                <w:i/>
                <w:sz w:val="24"/>
                <w:lang w:val="ky-KG"/>
              </w:rPr>
            </w:pPr>
            <w:r w:rsidRPr="00207B18">
              <w:rPr>
                <w:rFonts w:ascii="Times New Roman UniToktom" w:hAnsi="Times New Roman UniToktom" w:cs="Times New Roman UniToktom"/>
                <w:i/>
                <w:sz w:val="24"/>
                <w:lang w:val="ky-KG"/>
              </w:rPr>
              <w:t xml:space="preserve">     </w:t>
            </w:r>
            <w:r w:rsidRPr="00207B18">
              <w:rPr>
                <w:rFonts w:ascii="Times New Roman UniToktom" w:hAnsi="Times New Roman UniToktom" w:cs="Times New Roman UniToktom"/>
                <w:i/>
                <w:sz w:val="24"/>
              </w:rPr>
              <w:t xml:space="preserve">В операционных расходах на социально-культурную сферу направлено </w:t>
            </w:r>
            <w:r w:rsidRPr="00207B18">
              <w:rPr>
                <w:rFonts w:ascii="Times New Roman UniToktom" w:hAnsi="Times New Roman UniToktom" w:cs="Times New Roman UniToktom"/>
                <w:i/>
                <w:sz w:val="24"/>
                <w:lang w:val="ky-KG"/>
              </w:rPr>
              <w:t>1</w:t>
            </w:r>
            <w:r w:rsidR="00C4027E">
              <w:rPr>
                <w:rFonts w:ascii="Times New Roman UniToktom" w:hAnsi="Times New Roman UniToktom" w:cs="Times New Roman UniToktom"/>
                <w:i/>
                <w:sz w:val="24"/>
                <w:lang w:val="ky-KG"/>
              </w:rPr>
              <w:t>9 090,9</w:t>
            </w:r>
            <w:r w:rsidRPr="00207B18">
              <w:rPr>
                <w:rFonts w:ascii="Times New Roman UniToktom" w:hAnsi="Times New Roman UniToktom" w:cs="Times New Roman UniToktom"/>
                <w:i/>
                <w:sz w:val="24"/>
                <w:lang w:val="ky-KG"/>
              </w:rPr>
              <w:t xml:space="preserve"> млн</w:t>
            </w:r>
            <w:r w:rsidRPr="00207B18">
              <w:rPr>
                <w:rFonts w:ascii="Times New Roman UniToktom" w:hAnsi="Times New Roman UniToktom" w:cs="Times New Roman UniToktom"/>
                <w:i/>
                <w:sz w:val="24"/>
              </w:rPr>
              <w:t>. сомов</w:t>
            </w:r>
            <w:r w:rsidRPr="00207B18">
              <w:rPr>
                <w:rFonts w:ascii="Times New Roman UniToktom" w:hAnsi="Times New Roman UniToktom" w:cs="Times New Roman UniToktom"/>
                <w:i/>
                <w:sz w:val="24"/>
                <w:lang w:val="ky-KG"/>
              </w:rPr>
              <w:t>,</w:t>
            </w:r>
            <w:r w:rsidRPr="00207B18">
              <w:rPr>
                <w:rFonts w:ascii="Times New Roman UniToktom" w:hAnsi="Times New Roman UniToktom" w:cs="Times New Roman UniToktom"/>
                <w:i/>
                <w:sz w:val="24"/>
              </w:rPr>
              <w:t xml:space="preserve"> или 7</w:t>
            </w:r>
            <w:r w:rsidR="00C4027E">
              <w:rPr>
                <w:rFonts w:ascii="Times New Roman UniToktom" w:hAnsi="Times New Roman UniToktom" w:cs="Times New Roman UniToktom"/>
                <w:i/>
                <w:sz w:val="24"/>
              </w:rPr>
              <w:t>7,8</w:t>
            </w:r>
            <w:r w:rsidRPr="00207B18">
              <w:rPr>
                <w:rFonts w:ascii="Times New Roman UniToktom" w:hAnsi="Times New Roman UniToktom" w:cs="Times New Roman UniToktom"/>
                <w:i/>
                <w:sz w:val="24"/>
              </w:rPr>
              <w:t xml:space="preserve"> процента, на государственные услуги общего назначения, оборону и общественный порядок, и безопасность </w:t>
            </w:r>
            <w:r w:rsidRPr="00207B18">
              <w:rPr>
                <w:rFonts w:ascii="Times New Roman UniToktom" w:hAnsi="Times New Roman UniToktom" w:cs="Times New Roman UniToktom"/>
                <w:i/>
                <w:sz w:val="24"/>
                <w:lang w:val="ky-KG"/>
              </w:rPr>
              <w:t>4</w:t>
            </w:r>
            <w:r w:rsidR="00C4027E">
              <w:rPr>
                <w:rFonts w:ascii="Times New Roman UniToktom" w:hAnsi="Times New Roman UniToktom" w:cs="Times New Roman UniToktom"/>
                <w:i/>
                <w:sz w:val="24"/>
                <w:lang w:val="ky-KG"/>
              </w:rPr>
              <w:t> 396,9</w:t>
            </w:r>
            <w:r w:rsidRPr="00207B18">
              <w:rPr>
                <w:rFonts w:ascii="Times New Roman UniToktom" w:hAnsi="Times New Roman UniToktom" w:cs="Times New Roman UniToktom"/>
                <w:i/>
                <w:sz w:val="24"/>
                <w:lang w:val="ky-KG"/>
              </w:rPr>
              <w:t xml:space="preserve"> млн</w:t>
            </w:r>
            <w:r w:rsidRPr="00207B18">
              <w:rPr>
                <w:rFonts w:ascii="Times New Roman UniToktom" w:hAnsi="Times New Roman UniToktom" w:cs="Times New Roman UniToktom"/>
                <w:i/>
                <w:sz w:val="24"/>
              </w:rPr>
              <w:t xml:space="preserve">. сомов или </w:t>
            </w:r>
            <w:r w:rsidR="00C4027E">
              <w:rPr>
                <w:rFonts w:ascii="Times New Roman UniToktom" w:hAnsi="Times New Roman UniToktom" w:cs="Times New Roman UniToktom"/>
                <w:i/>
                <w:sz w:val="24"/>
              </w:rPr>
              <w:t>17,9</w:t>
            </w:r>
            <w:r w:rsidRPr="00207B18">
              <w:rPr>
                <w:rFonts w:ascii="Times New Roman UniToktom" w:hAnsi="Times New Roman UniToktom" w:cs="Times New Roman UniToktom"/>
                <w:i/>
                <w:sz w:val="24"/>
              </w:rPr>
              <w:t xml:space="preserve"> процент</w:t>
            </w:r>
            <w:r w:rsidRPr="00207B18">
              <w:rPr>
                <w:rFonts w:ascii="Times New Roman UniToktom" w:hAnsi="Times New Roman UniToktom" w:cs="Times New Roman UniToktom"/>
                <w:i/>
                <w:sz w:val="24"/>
                <w:lang w:val="ky-KG"/>
              </w:rPr>
              <w:t>а,</w:t>
            </w:r>
            <w:r w:rsidRPr="00207B18">
              <w:rPr>
                <w:rFonts w:ascii="Times New Roman UniToktom" w:hAnsi="Times New Roman UniToktom" w:cs="Times New Roman UniToktom"/>
                <w:i/>
                <w:sz w:val="24"/>
              </w:rPr>
              <w:t xml:space="preserve"> </w:t>
            </w:r>
            <w:r w:rsidRPr="00207B18">
              <w:rPr>
                <w:rFonts w:ascii="Times New Roman UniToktom" w:hAnsi="Times New Roman UniToktom" w:cs="Times New Roman UniToktom"/>
                <w:i/>
                <w:sz w:val="24"/>
                <w:lang w:val="ky-KG"/>
              </w:rPr>
              <w:t>экономические вопросы составили 4,</w:t>
            </w:r>
            <w:r w:rsidR="00C4027E">
              <w:rPr>
                <w:rFonts w:ascii="Times New Roman UniToktom" w:hAnsi="Times New Roman UniToktom" w:cs="Times New Roman UniToktom"/>
                <w:i/>
                <w:sz w:val="24"/>
                <w:lang w:val="ky-KG"/>
              </w:rPr>
              <w:t>2</w:t>
            </w:r>
            <w:r w:rsidRPr="00207B18">
              <w:rPr>
                <w:rFonts w:ascii="Times New Roman UniToktom" w:hAnsi="Times New Roman UniToktom" w:cs="Times New Roman UniToktom"/>
                <w:i/>
                <w:sz w:val="24"/>
                <w:lang w:val="ky-KG"/>
              </w:rPr>
              <w:t xml:space="preserve"> процента или </w:t>
            </w:r>
            <w:r w:rsidR="00C4027E">
              <w:rPr>
                <w:rFonts w:ascii="Times New Roman UniToktom" w:hAnsi="Times New Roman UniToktom" w:cs="Times New Roman UniToktom"/>
                <w:i/>
                <w:sz w:val="24"/>
                <w:lang w:val="ky-KG"/>
              </w:rPr>
              <w:t>1 051,4</w:t>
            </w:r>
            <w:r w:rsidRPr="00207B18">
              <w:rPr>
                <w:rFonts w:ascii="Times New Roman UniToktom" w:hAnsi="Times New Roman UniToktom" w:cs="Times New Roman UniToktom"/>
                <w:i/>
                <w:sz w:val="24"/>
                <w:lang w:val="ky-KG"/>
              </w:rPr>
              <w:t xml:space="preserve"> млн. сомов.</w:t>
            </w:r>
          </w:p>
        </w:tc>
      </w:tr>
    </w:tbl>
    <w:p w14:paraId="07938807" w14:textId="77777777" w:rsidR="00BA0AFD" w:rsidRPr="008E4328" w:rsidRDefault="00BA0AFD" w:rsidP="0038543B">
      <w:pPr>
        <w:ind w:firstLine="708"/>
        <w:jc w:val="both"/>
        <w:rPr>
          <w:sz w:val="24"/>
          <w:highlight w:val="yellow"/>
          <w:lang w:val="ky-KG"/>
        </w:rPr>
      </w:pPr>
    </w:p>
    <w:tbl>
      <w:tblPr>
        <w:tblW w:w="9639" w:type="dxa"/>
        <w:tblInd w:w="142" w:type="dxa"/>
        <w:tblLook w:val="04A0" w:firstRow="1" w:lastRow="0" w:firstColumn="1" w:lastColumn="0" w:noHBand="0" w:noVBand="1"/>
      </w:tblPr>
      <w:tblGrid>
        <w:gridCol w:w="4820"/>
        <w:gridCol w:w="4819"/>
      </w:tblGrid>
      <w:tr w:rsidR="00FB029B" w:rsidRPr="00947ABD" w14:paraId="7611B8F6" w14:textId="77777777" w:rsidTr="00372228">
        <w:tc>
          <w:tcPr>
            <w:tcW w:w="4820" w:type="dxa"/>
          </w:tcPr>
          <w:p w14:paraId="41D61C41" w14:textId="77777777" w:rsidR="00FB029B" w:rsidRPr="003158FF" w:rsidRDefault="00FB029B" w:rsidP="00C74AB4">
            <w:pPr>
              <w:pStyle w:val="2"/>
              <w:jc w:val="left"/>
              <w:rPr>
                <w:sz w:val="24"/>
              </w:rPr>
            </w:pPr>
            <w:proofErr w:type="spellStart"/>
            <w:r>
              <w:t>Тышкы</w:t>
            </w:r>
            <w:proofErr w:type="spellEnd"/>
            <w:r w:rsidRPr="00232CE3">
              <w:t xml:space="preserve"> сектор</w:t>
            </w:r>
          </w:p>
        </w:tc>
        <w:tc>
          <w:tcPr>
            <w:tcW w:w="4819" w:type="dxa"/>
          </w:tcPr>
          <w:p w14:paraId="4E06CDCB" w14:textId="77777777" w:rsidR="00FB029B" w:rsidRPr="00461FD8" w:rsidRDefault="00FB029B" w:rsidP="00C74AB4">
            <w:pPr>
              <w:pStyle w:val="2"/>
              <w:jc w:val="left"/>
              <w:rPr>
                <w:i/>
                <w:sz w:val="24"/>
              </w:rPr>
            </w:pPr>
            <w:r w:rsidRPr="00461FD8">
              <w:rPr>
                <w:i/>
              </w:rPr>
              <w:t>Внешний сектор</w:t>
            </w:r>
          </w:p>
        </w:tc>
      </w:tr>
      <w:tr w:rsidR="00C70988" w:rsidRPr="004F00FC" w14:paraId="1A2F14A8" w14:textId="77777777" w:rsidTr="00372228">
        <w:tc>
          <w:tcPr>
            <w:tcW w:w="4820" w:type="dxa"/>
          </w:tcPr>
          <w:p w14:paraId="54D4D3F2" w14:textId="77777777" w:rsidR="00C70988" w:rsidRPr="00C44EE6" w:rsidRDefault="00C70988" w:rsidP="00C70988">
            <w:pPr>
              <w:ind w:firstLine="708"/>
              <w:jc w:val="both"/>
              <w:rPr>
                <w:sz w:val="24"/>
                <w:lang w:val="ky-KG"/>
              </w:rPr>
            </w:pPr>
            <w:proofErr w:type="spellStart"/>
            <w:r w:rsidRPr="00C44EE6">
              <w:rPr>
                <w:b/>
                <w:sz w:val="24"/>
              </w:rPr>
              <w:t>Тышкы</w:t>
            </w:r>
            <w:proofErr w:type="spellEnd"/>
            <w:r w:rsidRPr="00C44EE6">
              <w:rPr>
                <w:b/>
                <w:sz w:val="24"/>
              </w:rPr>
              <w:t xml:space="preserve"> </w:t>
            </w:r>
            <w:proofErr w:type="spellStart"/>
            <w:r w:rsidRPr="00C44EE6">
              <w:rPr>
                <w:b/>
                <w:sz w:val="24"/>
              </w:rPr>
              <w:t>жана</w:t>
            </w:r>
            <w:proofErr w:type="spellEnd"/>
            <w:r w:rsidRPr="00C44EE6">
              <w:rPr>
                <w:b/>
                <w:sz w:val="24"/>
              </w:rPr>
              <w:t xml:space="preserve"> </w:t>
            </w:r>
            <w:proofErr w:type="spellStart"/>
            <w:r w:rsidRPr="00C44EE6">
              <w:rPr>
                <w:b/>
                <w:sz w:val="24"/>
              </w:rPr>
              <w:t>өз</w:t>
            </w:r>
            <w:proofErr w:type="spellEnd"/>
            <w:r w:rsidRPr="00C44EE6">
              <w:rPr>
                <w:b/>
                <w:sz w:val="24"/>
              </w:rPr>
              <w:t xml:space="preserve"> ара </w:t>
            </w:r>
            <w:proofErr w:type="spellStart"/>
            <w:r w:rsidRPr="00C44EE6">
              <w:rPr>
                <w:b/>
                <w:sz w:val="24"/>
              </w:rPr>
              <w:t>соода</w:t>
            </w:r>
            <w:proofErr w:type="spellEnd"/>
            <w:r w:rsidRPr="00C44EE6">
              <w:rPr>
                <w:b/>
                <w:sz w:val="24"/>
                <w:lang w:val="ky-KG"/>
              </w:rPr>
              <w:t xml:space="preserve"> бөлүгү</w:t>
            </w:r>
            <w:r w:rsidRPr="00C44EE6">
              <w:rPr>
                <w:b/>
                <w:sz w:val="24"/>
              </w:rPr>
              <w:t>.</w:t>
            </w:r>
            <w:r w:rsidRPr="00C44EE6">
              <w:rPr>
                <w:b/>
                <w:sz w:val="24"/>
                <w:lang w:val="ky-KG"/>
              </w:rPr>
              <w:t xml:space="preserve"> </w:t>
            </w:r>
            <w:r w:rsidRPr="00C44EE6">
              <w:rPr>
                <w:sz w:val="24"/>
                <w:lang w:val="ky-KG"/>
              </w:rPr>
              <w:t xml:space="preserve">Тышкы соода саясатын либералдаштыруу  тышкы сооданын көлөмүнө, анын географиялык жана тармактык структурасына олуттуу өзгөрүүлөрдү алып келди. Жалал-Абад  облусунун соода уюмдарынын ишканаларынын, дыйкан чарбаларынын, жеке адамдардын жакынкы жана алыскы чет өлкөлөр менен тышкы соода жүгүртүүсү жүк бажы декларациясынын маалыматтары боюнча өз ара соода жүгүртүүсү 2024 - жылы </w:t>
            </w:r>
            <w:r w:rsidRPr="00C44EE6">
              <w:rPr>
                <w:rFonts w:ascii="Times New Roman UniToktom" w:hAnsi="Times New Roman UniToktom" w:cs="Times New Roman UniToktom"/>
                <w:sz w:val="24"/>
                <w:szCs w:val="24"/>
                <w:lang w:val="ky-KG"/>
              </w:rPr>
              <w:t>502,8</w:t>
            </w:r>
            <w:r w:rsidRPr="00C44EE6">
              <w:rPr>
                <w:sz w:val="24"/>
                <w:lang w:val="ky-KG"/>
              </w:rPr>
              <w:t xml:space="preserve"> АКШ долларын түздү (уюштурулбаган сооданы кошпогондо).</w:t>
            </w:r>
          </w:p>
          <w:p w14:paraId="0B552A08" w14:textId="03D3C701" w:rsidR="00C70988" w:rsidRPr="00C44EE6" w:rsidRDefault="00C70988" w:rsidP="00C70988">
            <w:pPr>
              <w:ind w:firstLine="708"/>
              <w:jc w:val="both"/>
              <w:rPr>
                <w:i/>
                <w:sz w:val="24"/>
                <w:lang w:val="ky-KG"/>
              </w:rPr>
            </w:pPr>
            <w:r w:rsidRPr="00C44EE6">
              <w:rPr>
                <w:sz w:val="24"/>
                <w:lang w:val="ky-KG"/>
              </w:rPr>
              <w:t xml:space="preserve"> Жалпы тышкы соода жүгүртүүдө алыскы жана жакынкы чет өлкөлөрдүн үлүшү 2024-жылы 2023-жылга салыштырмалуу  20,4  пайызга, ал эми КМШ өлкөлөрүнө салыштырсак 10,3 пайызга төмөндөгөн.</w:t>
            </w:r>
          </w:p>
        </w:tc>
        <w:tc>
          <w:tcPr>
            <w:tcW w:w="4819" w:type="dxa"/>
          </w:tcPr>
          <w:p w14:paraId="5D3A21C9" w14:textId="1AEC4447" w:rsidR="00C70988" w:rsidRPr="00C44EE6" w:rsidRDefault="00C70988" w:rsidP="00C70988">
            <w:pPr>
              <w:ind w:firstLine="708"/>
              <w:jc w:val="both"/>
              <w:rPr>
                <w:i/>
                <w:sz w:val="24"/>
              </w:rPr>
            </w:pPr>
            <w:r w:rsidRPr="00C44EE6">
              <w:rPr>
                <w:b/>
                <w:i/>
                <w:sz w:val="24"/>
              </w:rPr>
              <w:t>Внешняя и взаимная торговля.</w:t>
            </w:r>
            <w:r w:rsidRPr="00C44EE6">
              <w:rPr>
                <w:i/>
                <w:sz w:val="24"/>
              </w:rPr>
              <w:t xml:space="preserve"> В </w:t>
            </w:r>
            <w:proofErr w:type="gramStart"/>
            <w:r w:rsidRPr="00C44EE6">
              <w:rPr>
                <w:i/>
                <w:sz w:val="24"/>
              </w:rPr>
              <w:t>результате  либерализации</w:t>
            </w:r>
            <w:proofErr w:type="gramEnd"/>
            <w:r w:rsidRPr="00C44EE6">
              <w:rPr>
                <w:i/>
                <w:sz w:val="24"/>
              </w:rPr>
              <w:t xml:space="preserve"> внешнеторговой политики произошли </w:t>
            </w:r>
            <w:proofErr w:type="gramStart"/>
            <w:r w:rsidRPr="00C44EE6">
              <w:rPr>
                <w:i/>
                <w:sz w:val="24"/>
              </w:rPr>
              <w:t>значительные  изменения</w:t>
            </w:r>
            <w:proofErr w:type="gramEnd"/>
            <w:r w:rsidRPr="00C44EE6">
              <w:rPr>
                <w:i/>
                <w:sz w:val="24"/>
              </w:rPr>
              <w:t xml:space="preserve">, как в объемах внешней торговли, так и в ее географической и отраслевой структуре. Внешнеторговый оборот организаций, предприятий, крестьянских хозяйств, физических лиц </w:t>
            </w:r>
            <w:r w:rsidRPr="00C44EE6">
              <w:rPr>
                <w:i/>
                <w:sz w:val="24"/>
                <w:lang w:val="ky-KG"/>
              </w:rPr>
              <w:t xml:space="preserve">Джалал-Абадской </w:t>
            </w:r>
            <w:r w:rsidRPr="00C44EE6">
              <w:rPr>
                <w:i/>
                <w:sz w:val="24"/>
              </w:rPr>
              <w:t>области со странами дальнего и ближнего зарубежья по данным грузовых таможенных деклараций и с государствами – членами ЕАЭС по данным государственной статистической отчетности взаимная торговля в 20</w:t>
            </w:r>
            <w:r w:rsidRPr="00C44EE6">
              <w:rPr>
                <w:i/>
                <w:sz w:val="24"/>
                <w:lang w:val="ky-KG"/>
              </w:rPr>
              <w:t>24</w:t>
            </w:r>
            <w:r w:rsidRPr="00C44EE6">
              <w:rPr>
                <w:i/>
                <w:sz w:val="24"/>
              </w:rPr>
              <w:t xml:space="preserve"> году составил</w:t>
            </w:r>
            <w:r w:rsidRPr="00C44EE6">
              <w:rPr>
                <w:i/>
                <w:sz w:val="24"/>
                <w:lang w:val="ky-KG"/>
              </w:rPr>
              <w:t>а</w:t>
            </w:r>
            <w:r w:rsidRPr="00C44EE6">
              <w:rPr>
                <w:b/>
                <w:i/>
                <w:sz w:val="24"/>
              </w:rPr>
              <w:t xml:space="preserve"> </w:t>
            </w:r>
            <w:r w:rsidRPr="00C44EE6">
              <w:rPr>
                <w:i/>
                <w:sz w:val="24"/>
                <w:lang w:val="ky-KG"/>
              </w:rPr>
              <w:t>502,8</w:t>
            </w:r>
            <w:r w:rsidRPr="00C44EE6">
              <w:rPr>
                <w:i/>
                <w:sz w:val="24"/>
              </w:rPr>
              <w:t xml:space="preserve"> млн. долларов США (без учета неорганизованной торговли). Удельный вес стран дальнего зарубежья в общем объеме внешнеторгового оборота за 20</w:t>
            </w:r>
            <w:r w:rsidRPr="00C44EE6">
              <w:rPr>
                <w:i/>
                <w:sz w:val="24"/>
                <w:lang w:val="ky-KG"/>
              </w:rPr>
              <w:t>24</w:t>
            </w:r>
            <w:r w:rsidRPr="00C44EE6">
              <w:rPr>
                <w:i/>
                <w:sz w:val="24"/>
              </w:rPr>
              <w:t xml:space="preserve"> год</w:t>
            </w:r>
            <w:r w:rsidRPr="00C44EE6">
              <w:rPr>
                <w:i/>
                <w:sz w:val="24"/>
                <w:lang w:val="ky-KG"/>
              </w:rPr>
              <w:t xml:space="preserve"> </w:t>
            </w:r>
            <w:proofErr w:type="gramStart"/>
            <w:r w:rsidRPr="00C44EE6">
              <w:rPr>
                <w:i/>
                <w:sz w:val="24"/>
                <w:lang w:val="ky-KG"/>
              </w:rPr>
              <w:t>снизился</w:t>
            </w:r>
            <w:r w:rsidRPr="00C44EE6">
              <w:rPr>
                <w:i/>
                <w:sz w:val="24"/>
              </w:rPr>
              <w:t xml:space="preserve">  по</w:t>
            </w:r>
            <w:proofErr w:type="gramEnd"/>
            <w:r w:rsidRPr="00C44EE6">
              <w:rPr>
                <w:i/>
                <w:sz w:val="24"/>
              </w:rPr>
              <w:t xml:space="preserve"> сравнению с </w:t>
            </w:r>
            <w:proofErr w:type="gramStart"/>
            <w:r w:rsidRPr="00C44EE6">
              <w:rPr>
                <w:i/>
                <w:sz w:val="24"/>
              </w:rPr>
              <w:t>20</w:t>
            </w:r>
            <w:r w:rsidRPr="00C44EE6">
              <w:rPr>
                <w:i/>
                <w:sz w:val="24"/>
                <w:lang w:val="ky-KG"/>
              </w:rPr>
              <w:t xml:space="preserve">23 </w:t>
            </w:r>
            <w:r w:rsidRPr="00C44EE6">
              <w:rPr>
                <w:i/>
                <w:sz w:val="24"/>
              </w:rPr>
              <w:t xml:space="preserve"> </w:t>
            </w:r>
            <w:r w:rsidRPr="00C44EE6">
              <w:rPr>
                <w:i/>
                <w:sz w:val="24"/>
                <w:lang w:val="ky-KG"/>
              </w:rPr>
              <w:t>на</w:t>
            </w:r>
            <w:proofErr w:type="gramEnd"/>
            <w:r w:rsidRPr="00C44EE6">
              <w:rPr>
                <w:i/>
                <w:sz w:val="24"/>
                <w:lang w:val="ky-KG"/>
              </w:rPr>
              <w:t xml:space="preserve"> </w:t>
            </w:r>
            <w:r w:rsidRPr="00C44EE6">
              <w:rPr>
                <w:i/>
                <w:sz w:val="24"/>
              </w:rPr>
              <w:t xml:space="preserve"> </w:t>
            </w:r>
            <w:r w:rsidRPr="00C44EE6">
              <w:rPr>
                <w:i/>
                <w:sz w:val="24"/>
                <w:lang w:val="ky-KG"/>
              </w:rPr>
              <w:t>20,4</w:t>
            </w:r>
            <w:r w:rsidRPr="00C44EE6">
              <w:rPr>
                <w:i/>
                <w:sz w:val="24"/>
              </w:rPr>
              <w:t xml:space="preserve"> процента, а для стран </w:t>
            </w:r>
            <w:proofErr w:type="gramStart"/>
            <w:r w:rsidRPr="00C44EE6">
              <w:rPr>
                <w:i/>
                <w:sz w:val="24"/>
              </w:rPr>
              <w:t>СНГ  –</w:t>
            </w:r>
            <w:proofErr w:type="gramEnd"/>
            <w:r w:rsidRPr="00C44EE6">
              <w:rPr>
                <w:i/>
                <w:sz w:val="24"/>
              </w:rPr>
              <w:t xml:space="preserve"> </w:t>
            </w:r>
            <w:r w:rsidRPr="00C44EE6">
              <w:rPr>
                <w:i/>
                <w:sz w:val="24"/>
                <w:lang w:val="ky-KG"/>
              </w:rPr>
              <w:t>на 10,3,</w:t>
            </w:r>
            <w:r w:rsidRPr="00C44EE6">
              <w:rPr>
                <w:i/>
                <w:sz w:val="24"/>
              </w:rPr>
              <w:t xml:space="preserve"> процент</w:t>
            </w:r>
            <w:r w:rsidRPr="00C44EE6">
              <w:rPr>
                <w:i/>
                <w:sz w:val="24"/>
                <w:lang w:val="ky-KG"/>
              </w:rPr>
              <w:t>ов</w:t>
            </w:r>
            <w:r w:rsidRPr="00C44EE6">
              <w:rPr>
                <w:i/>
                <w:sz w:val="24"/>
              </w:rPr>
              <w:t>.</w:t>
            </w:r>
          </w:p>
        </w:tc>
      </w:tr>
      <w:tr w:rsidR="00C44EE6" w:rsidRPr="00C44EE6" w14:paraId="53504FF7" w14:textId="77777777" w:rsidTr="00372228">
        <w:tc>
          <w:tcPr>
            <w:tcW w:w="4820" w:type="dxa"/>
          </w:tcPr>
          <w:p w14:paraId="6E862DE7" w14:textId="77777777" w:rsidR="00C70988" w:rsidRPr="00C44EE6" w:rsidRDefault="00C70988" w:rsidP="00C70988">
            <w:pPr>
              <w:ind w:firstLine="743"/>
              <w:jc w:val="both"/>
              <w:rPr>
                <w:sz w:val="24"/>
                <w:szCs w:val="24"/>
                <w:lang w:val="ky-KG"/>
              </w:rPr>
            </w:pPr>
            <w:r w:rsidRPr="00C44EE6">
              <w:rPr>
                <w:bCs/>
                <w:sz w:val="24"/>
                <w:lang w:val="ky-KG"/>
              </w:rPr>
              <w:t xml:space="preserve">Экспорттук </w:t>
            </w:r>
            <w:r w:rsidRPr="00C44EE6">
              <w:rPr>
                <w:rFonts w:ascii="Times New Roman UniToktom" w:hAnsi="Times New Roman UniToktom" w:cs="Times New Roman UniToktom"/>
                <w:bCs/>
                <w:sz w:val="24"/>
                <w:lang w:val="ky-KG"/>
              </w:rPr>
              <w:t>жөнөтүүл</w:t>
            </w:r>
            <w:r w:rsidRPr="00C44EE6">
              <w:rPr>
                <w:sz w:val="24"/>
                <w:lang w:val="ky-KG"/>
              </w:rPr>
              <w:t>ү</w:t>
            </w:r>
            <w:r w:rsidRPr="00C44EE6">
              <w:rPr>
                <w:rFonts w:ascii="Times New Roman UniToktom" w:hAnsi="Times New Roman UniToktom" w:cs="Times New Roman UniToktom"/>
                <w:bCs/>
                <w:sz w:val="24"/>
                <w:lang w:val="ky-KG"/>
              </w:rPr>
              <w:t>р</w:t>
            </w:r>
            <w:r w:rsidRPr="00C44EE6">
              <w:rPr>
                <w:sz w:val="24"/>
                <w:lang w:val="ky-KG"/>
              </w:rPr>
              <w:t xml:space="preserve"> облус боюнча 2024-жылда 287,2</w:t>
            </w:r>
            <w:r w:rsidRPr="00C44EE6">
              <w:rPr>
                <w:i/>
                <w:sz w:val="24"/>
              </w:rPr>
              <w:t xml:space="preserve"> </w:t>
            </w:r>
            <w:r w:rsidRPr="00C44EE6">
              <w:rPr>
                <w:rFonts w:ascii="Times New Roman UniToktom" w:hAnsi="Times New Roman UniToktom" w:cs="Times New Roman UniToktom"/>
                <w:sz w:val="24"/>
                <w:lang w:val="ky-KG"/>
              </w:rPr>
              <w:t xml:space="preserve">млн. </w:t>
            </w:r>
            <w:r w:rsidRPr="00C44EE6">
              <w:rPr>
                <w:sz w:val="24"/>
                <w:lang w:val="ky-KG"/>
              </w:rPr>
              <w:t xml:space="preserve">долларды түздү. Жалал-Абад облусунун продукцияларынын негизги </w:t>
            </w:r>
            <w:r w:rsidRPr="00C44EE6">
              <w:rPr>
                <w:rFonts w:ascii="Times New Roman UniToktom" w:hAnsi="Times New Roman UniToktom" w:cs="Times New Roman UniToktom"/>
                <w:sz w:val="24"/>
                <w:lang w:val="ky-KG"/>
              </w:rPr>
              <w:t>керектөөчүлөрү</w:t>
            </w:r>
            <w:r w:rsidRPr="00C44EE6">
              <w:rPr>
                <w:sz w:val="24"/>
                <w:lang w:val="ky-KG"/>
              </w:rPr>
              <w:t xml:space="preserve"> болуп, алыскы чет өлкөлөрдөн  Азия  регионунун  өлкөлөрүн</w:t>
            </w:r>
            <w:r w:rsidRPr="00C44EE6">
              <w:rPr>
                <w:rFonts w:ascii="Times New Roman UniToktom" w:hAnsi="Times New Roman UniToktom" w:cs="Times New Roman UniToktom"/>
                <w:sz w:val="24"/>
                <w:lang w:val="ky-KG"/>
              </w:rPr>
              <w:t>ө</w:t>
            </w:r>
            <w:r w:rsidRPr="00C44EE6">
              <w:rPr>
                <w:sz w:val="24"/>
                <w:lang w:val="ky-KG"/>
              </w:rPr>
              <w:t>,  анын ичинен Түркияга –15853,5 миң доллар, Кытайга – 494481,0 миң доллар болду.</w:t>
            </w:r>
          </w:p>
          <w:p w14:paraId="566703AB" w14:textId="77777777" w:rsidR="00C70988" w:rsidRPr="00C44EE6" w:rsidRDefault="00C70988" w:rsidP="00C70988">
            <w:pPr>
              <w:jc w:val="both"/>
              <w:rPr>
                <w:sz w:val="24"/>
                <w:lang w:val="ky-KG"/>
              </w:rPr>
            </w:pPr>
          </w:p>
        </w:tc>
        <w:tc>
          <w:tcPr>
            <w:tcW w:w="4819" w:type="dxa"/>
          </w:tcPr>
          <w:p w14:paraId="4904AC3C" w14:textId="382E1C5C" w:rsidR="00C70988" w:rsidRPr="00C44EE6" w:rsidRDefault="00C70988" w:rsidP="00C70988">
            <w:pPr>
              <w:ind w:firstLine="708"/>
              <w:jc w:val="both"/>
              <w:rPr>
                <w:i/>
                <w:sz w:val="24"/>
              </w:rPr>
            </w:pPr>
            <w:r w:rsidRPr="00C44EE6">
              <w:rPr>
                <w:bCs/>
                <w:i/>
                <w:sz w:val="24"/>
              </w:rPr>
              <w:t>Экспортные поставки</w:t>
            </w:r>
            <w:r w:rsidRPr="00C44EE6">
              <w:rPr>
                <w:i/>
                <w:sz w:val="24"/>
              </w:rPr>
              <w:t xml:space="preserve"> области в 20</w:t>
            </w:r>
            <w:r w:rsidRPr="00C44EE6">
              <w:rPr>
                <w:i/>
                <w:sz w:val="24"/>
                <w:lang w:val="ky-KG"/>
              </w:rPr>
              <w:t>24</w:t>
            </w:r>
            <w:r w:rsidRPr="00C44EE6">
              <w:rPr>
                <w:i/>
                <w:sz w:val="24"/>
              </w:rPr>
              <w:t xml:space="preserve"> году </w:t>
            </w:r>
            <w:proofErr w:type="gramStart"/>
            <w:r w:rsidRPr="00C44EE6">
              <w:rPr>
                <w:i/>
                <w:sz w:val="24"/>
              </w:rPr>
              <w:t xml:space="preserve">составили  </w:t>
            </w:r>
            <w:r w:rsidRPr="00C44EE6">
              <w:rPr>
                <w:i/>
                <w:sz w:val="24"/>
                <w:lang w:val="ky-KG"/>
              </w:rPr>
              <w:t>287</w:t>
            </w:r>
            <w:proofErr w:type="gramEnd"/>
            <w:r w:rsidRPr="00C44EE6">
              <w:rPr>
                <w:i/>
                <w:sz w:val="24"/>
                <w:lang w:val="ky-KG"/>
              </w:rPr>
              <w:t>,2</w:t>
            </w:r>
            <w:r w:rsidRPr="00C44EE6">
              <w:rPr>
                <w:i/>
                <w:sz w:val="24"/>
              </w:rPr>
              <w:t xml:space="preserve">млн. долларов. Основными потребителями продукции </w:t>
            </w:r>
            <w:r w:rsidRPr="00C44EE6">
              <w:rPr>
                <w:i/>
                <w:sz w:val="24"/>
                <w:lang w:val="ky-KG"/>
              </w:rPr>
              <w:t>Джалал-</w:t>
            </w:r>
            <w:proofErr w:type="gramStart"/>
            <w:r w:rsidRPr="00C44EE6">
              <w:rPr>
                <w:i/>
                <w:sz w:val="24"/>
                <w:lang w:val="ky-KG"/>
              </w:rPr>
              <w:t xml:space="preserve">Абадской </w:t>
            </w:r>
            <w:r w:rsidRPr="00C44EE6">
              <w:rPr>
                <w:i/>
                <w:sz w:val="24"/>
              </w:rPr>
              <w:t xml:space="preserve"> области</w:t>
            </w:r>
            <w:proofErr w:type="gramEnd"/>
            <w:r w:rsidRPr="00C44EE6">
              <w:rPr>
                <w:i/>
                <w:sz w:val="24"/>
              </w:rPr>
              <w:t xml:space="preserve"> по дальнему </w:t>
            </w:r>
            <w:proofErr w:type="gramStart"/>
            <w:r w:rsidRPr="00C44EE6">
              <w:rPr>
                <w:i/>
                <w:sz w:val="24"/>
              </w:rPr>
              <w:t>зарубежью  являются</w:t>
            </w:r>
            <w:proofErr w:type="gramEnd"/>
            <w:r w:rsidRPr="00C44EE6">
              <w:rPr>
                <w:i/>
                <w:sz w:val="24"/>
              </w:rPr>
              <w:t xml:space="preserve">:  </w:t>
            </w:r>
            <w:proofErr w:type="gramStart"/>
            <w:r w:rsidRPr="00C44EE6">
              <w:rPr>
                <w:i/>
                <w:sz w:val="24"/>
              </w:rPr>
              <w:t>страны  Азиатского</w:t>
            </w:r>
            <w:proofErr w:type="gramEnd"/>
            <w:r w:rsidRPr="00C44EE6">
              <w:rPr>
                <w:i/>
                <w:sz w:val="24"/>
              </w:rPr>
              <w:t xml:space="preserve"> </w:t>
            </w:r>
            <w:proofErr w:type="gramStart"/>
            <w:r w:rsidRPr="00C44EE6">
              <w:rPr>
                <w:i/>
                <w:sz w:val="24"/>
              </w:rPr>
              <w:t>региона,  где</w:t>
            </w:r>
            <w:proofErr w:type="gramEnd"/>
            <w:r w:rsidRPr="00C44EE6">
              <w:rPr>
                <w:i/>
                <w:sz w:val="24"/>
              </w:rPr>
              <w:t xml:space="preserve"> экспортные поставки </w:t>
            </w:r>
            <w:proofErr w:type="gramStart"/>
            <w:r w:rsidRPr="00C44EE6">
              <w:rPr>
                <w:i/>
                <w:sz w:val="24"/>
              </w:rPr>
              <w:t>в  Турцию</w:t>
            </w:r>
            <w:proofErr w:type="gramEnd"/>
            <w:r w:rsidRPr="00C44EE6">
              <w:rPr>
                <w:i/>
                <w:sz w:val="24"/>
              </w:rPr>
              <w:t xml:space="preserve">  составили </w:t>
            </w:r>
            <w:r w:rsidRPr="00C44EE6">
              <w:rPr>
                <w:i/>
                <w:sz w:val="24"/>
                <w:lang w:val="ky-KG"/>
              </w:rPr>
              <w:t>15853,</w:t>
            </w:r>
            <w:proofErr w:type="gramStart"/>
            <w:r w:rsidRPr="00C44EE6">
              <w:rPr>
                <w:i/>
                <w:sz w:val="24"/>
                <w:lang w:val="ky-KG"/>
              </w:rPr>
              <w:t>5</w:t>
            </w:r>
            <w:r w:rsidRPr="00C44EE6">
              <w:rPr>
                <w:i/>
                <w:sz w:val="24"/>
              </w:rPr>
              <w:t xml:space="preserve">  тыс.</w:t>
            </w:r>
            <w:proofErr w:type="gramEnd"/>
            <w:r w:rsidRPr="00C44EE6">
              <w:rPr>
                <w:i/>
                <w:sz w:val="24"/>
              </w:rPr>
              <w:t xml:space="preserve"> </w:t>
            </w:r>
            <w:proofErr w:type="gramStart"/>
            <w:r w:rsidRPr="00C44EE6">
              <w:rPr>
                <w:i/>
                <w:sz w:val="24"/>
              </w:rPr>
              <w:t xml:space="preserve">долларов, </w:t>
            </w:r>
            <w:r w:rsidRPr="00C44EE6">
              <w:rPr>
                <w:i/>
                <w:sz w:val="24"/>
                <w:lang w:val="ky-KG"/>
              </w:rPr>
              <w:t xml:space="preserve"> </w:t>
            </w:r>
            <w:r w:rsidRPr="00C44EE6">
              <w:rPr>
                <w:i/>
                <w:sz w:val="24"/>
              </w:rPr>
              <w:t xml:space="preserve"> </w:t>
            </w:r>
            <w:proofErr w:type="gramEnd"/>
            <w:r w:rsidRPr="00C44EE6">
              <w:rPr>
                <w:i/>
                <w:sz w:val="24"/>
              </w:rPr>
              <w:t xml:space="preserve">Китай – </w:t>
            </w:r>
            <w:r w:rsidRPr="00C44EE6">
              <w:rPr>
                <w:i/>
                <w:sz w:val="24"/>
                <w:lang w:val="ky-KG"/>
              </w:rPr>
              <w:t>494481,</w:t>
            </w:r>
            <w:proofErr w:type="gramStart"/>
            <w:r w:rsidRPr="00C44EE6">
              <w:rPr>
                <w:i/>
                <w:sz w:val="24"/>
                <w:lang w:val="ky-KG"/>
              </w:rPr>
              <w:t>0</w:t>
            </w:r>
            <w:r w:rsidRPr="00C44EE6">
              <w:rPr>
                <w:i/>
                <w:sz w:val="24"/>
              </w:rPr>
              <w:t xml:space="preserve">  </w:t>
            </w:r>
            <w:proofErr w:type="spellStart"/>
            <w:r w:rsidRPr="00C44EE6">
              <w:rPr>
                <w:i/>
                <w:sz w:val="24"/>
              </w:rPr>
              <w:t>тыс</w:t>
            </w:r>
            <w:proofErr w:type="gramEnd"/>
            <w:r w:rsidRPr="00C44EE6">
              <w:rPr>
                <w:i/>
                <w:sz w:val="24"/>
              </w:rPr>
              <w:t>.долларов</w:t>
            </w:r>
            <w:proofErr w:type="spellEnd"/>
            <w:r w:rsidRPr="00C44EE6">
              <w:rPr>
                <w:i/>
                <w:sz w:val="24"/>
              </w:rPr>
              <w:t>.</w:t>
            </w:r>
          </w:p>
        </w:tc>
      </w:tr>
      <w:tr w:rsidR="00C44EE6" w:rsidRPr="00C44EE6" w14:paraId="29D3DBDA" w14:textId="77777777" w:rsidTr="00372228">
        <w:tc>
          <w:tcPr>
            <w:tcW w:w="4820" w:type="dxa"/>
          </w:tcPr>
          <w:p w14:paraId="4B188C39" w14:textId="750B4186" w:rsidR="00C70988" w:rsidRPr="00C44EE6" w:rsidRDefault="00C70988" w:rsidP="00C70988">
            <w:pPr>
              <w:ind w:firstLine="459"/>
              <w:jc w:val="both"/>
              <w:rPr>
                <w:bCs/>
                <w:sz w:val="24"/>
                <w:lang w:val="ky-KG"/>
              </w:rPr>
            </w:pPr>
            <w:r w:rsidRPr="00C44EE6">
              <w:rPr>
                <w:sz w:val="24"/>
                <w:lang w:val="ky-KG"/>
              </w:rPr>
              <w:t>Облусубуздун  негизги өнөктөштөрү болуп ЕАЭС өлкөлөрүнө экспорт – Орусияга -  2841,8 миң доллар, Казакстанга – 127130,7 миң долларды түздү.</w:t>
            </w:r>
          </w:p>
        </w:tc>
        <w:tc>
          <w:tcPr>
            <w:tcW w:w="4819" w:type="dxa"/>
          </w:tcPr>
          <w:p w14:paraId="07C84A37" w14:textId="702FAD88" w:rsidR="00C70988" w:rsidRPr="00C44EE6" w:rsidRDefault="00C70988" w:rsidP="00C70988">
            <w:pPr>
              <w:ind w:firstLine="708"/>
              <w:jc w:val="both"/>
              <w:rPr>
                <w:bCs/>
                <w:i/>
                <w:sz w:val="24"/>
              </w:rPr>
            </w:pPr>
            <w:r w:rsidRPr="00C44EE6">
              <w:rPr>
                <w:i/>
                <w:sz w:val="24"/>
              </w:rPr>
              <w:t>Основными партнерами области по экспорту по</w:t>
            </w:r>
            <w:r w:rsidRPr="00C44EE6">
              <w:rPr>
                <w:i/>
                <w:sz w:val="24"/>
                <w:lang w:val="ky-KG"/>
              </w:rPr>
              <w:t xml:space="preserve"> </w:t>
            </w:r>
            <w:r w:rsidRPr="00C44EE6">
              <w:rPr>
                <w:i/>
                <w:sz w:val="24"/>
              </w:rPr>
              <w:t xml:space="preserve">государствам-членам Евразийского экономического союза (ЕАЭС) </w:t>
            </w:r>
            <w:proofErr w:type="gramStart"/>
            <w:r w:rsidRPr="00C44EE6">
              <w:rPr>
                <w:i/>
                <w:sz w:val="24"/>
              </w:rPr>
              <w:t>-  Россия</w:t>
            </w:r>
            <w:proofErr w:type="gramEnd"/>
            <w:r w:rsidRPr="00C44EE6">
              <w:rPr>
                <w:i/>
                <w:sz w:val="24"/>
              </w:rPr>
              <w:t xml:space="preserve"> </w:t>
            </w:r>
            <w:r w:rsidRPr="00C44EE6">
              <w:rPr>
                <w:i/>
                <w:sz w:val="24"/>
                <w:lang w:val="ky-KG"/>
              </w:rPr>
              <w:t>2841,8</w:t>
            </w:r>
            <w:r w:rsidRPr="00C44EE6">
              <w:rPr>
                <w:i/>
                <w:sz w:val="24"/>
              </w:rPr>
              <w:t xml:space="preserve"> </w:t>
            </w:r>
            <w:proofErr w:type="spellStart"/>
            <w:proofErr w:type="gramStart"/>
            <w:r w:rsidRPr="00C44EE6">
              <w:rPr>
                <w:i/>
                <w:sz w:val="24"/>
              </w:rPr>
              <w:t>тыс.долларов</w:t>
            </w:r>
            <w:proofErr w:type="spellEnd"/>
            <w:proofErr w:type="gramEnd"/>
            <w:r w:rsidRPr="00C44EE6">
              <w:rPr>
                <w:i/>
                <w:sz w:val="24"/>
              </w:rPr>
              <w:t>,</w:t>
            </w:r>
            <w:r w:rsidRPr="00C44EE6">
              <w:rPr>
                <w:i/>
                <w:sz w:val="24"/>
                <w:lang w:val="ky-KG"/>
              </w:rPr>
              <w:t xml:space="preserve"> </w:t>
            </w:r>
            <w:r w:rsidRPr="00C44EE6">
              <w:rPr>
                <w:i/>
                <w:sz w:val="24"/>
              </w:rPr>
              <w:t xml:space="preserve">Казахстан </w:t>
            </w:r>
            <w:r w:rsidRPr="00C44EE6">
              <w:rPr>
                <w:i/>
                <w:sz w:val="24"/>
                <w:lang w:val="ky-KG"/>
              </w:rPr>
              <w:t xml:space="preserve">127130,7 </w:t>
            </w:r>
            <w:proofErr w:type="spellStart"/>
            <w:proofErr w:type="gramStart"/>
            <w:r w:rsidRPr="00C44EE6">
              <w:rPr>
                <w:i/>
                <w:sz w:val="24"/>
              </w:rPr>
              <w:t>тыс.долларов</w:t>
            </w:r>
            <w:proofErr w:type="spellEnd"/>
            <w:proofErr w:type="gramEnd"/>
            <w:r w:rsidRPr="00C44EE6">
              <w:rPr>
                <w:i/>
                <w:sz w:val="24"/>
              </w:rPr>
              <w:t>.</w:t>
            </w:r>
          </w:p>
        </w:tc>
      </w:tr>
      <w:tr w:rsidR="00C70988" w:rsidRPr="00C44EE6" w14:paraId="5B55DB98" w14:textId="77777777" w:rsidTr="00372228">
        <w:tc>
          <w:tcPr>
            <w:tcW w:w="4820" w:type="dxa"/>
          </w:tcPr>
          <w:p w14:paraId="3FA5F2B1" w14:textId="135718EB" w:rsidR="00C70988" w:rsidRPr="00C44EE6" w:rsidRDefault="00C70988" w:rsidP="00C70988">
            <w:pPr>
              <w:ind w:firstLine="708"/>
              <w:jc w:val="both"/>
              <w:rPr>
                <w:sz w:val="24"/>
              </w:rPr>
            </w:pPr>
            <w:r w:rsidRPr="00C44EE6">
              <w:rPr>
                <w:sz w:val="24"/>
                <w:lang w:val="ky-KG"/>
              </w:rPr>
              <w:t xml:space="preserve">Облусубуз 2024 – жылы дүйнөнүн </w:t>
            </w:r>
            <w:r w:rsidRPr="00C44EE6">
              <w:rPr>
                <w:sz w:val="24"/>
              </w:rPr>
              <w:t xml:space="preserve"> </w:t>
            </w:r>
            <w:r w:rsidRPr="00C44EE6">
              <w:rPr>
                <w:sz w:val="24"/>
                <w:lang w:val="ky-KG"/>
              </w:rPr>
              <w:t>66 өлкөсү менен соода жүргүздү</w:t>
            </w:r>
            <w:r w:rsidRPr="00C44EE6">
              <w:rPr>
                <w:sz w:val="24"/>
              </w:rPr>
              <w:t>.</w:t>
            </w:r>
          </w:p>
        </w:tc>
        <w:tc>
          <w:tcPr>
            <w:tcW w:w="4819" w:type="dxa"/>
          </w:tcPr>
          <w:p w14:paraId="5C5C487D" w14:textId="4206B022" w:rsidR="00C70988" w:rsidRPr="00C44EE6" w:rsidRDefault="00C70988" w:rsidP="00C70988">
            <w:pPr>
              <w:ind w:firstLine="708"/>
              <w:jc w:val="both"/>
              <w:rPr>
                <w:i/>
                <w:sz w:val="24"/>
              </w:rPr>
            </w:pPr>
            <w:r w:rsidRPr="00C44EE6">
              <w:rPr>
                <w:i/>
                <w:sz w:val="24"/>
              </w:rPr>
              <w:t>Область осуществляла в 20</w:t>
            </w:r>
            <w:r w:rsidRPr="00C44EE6">
              <w:rPr>
                <w:i/>
                <w:sz w:val="24"/>
                <w:lang w:val="ky-KG"/>
              </w:rPr>
              <w:t>24</w:t>
            </w:r>
            <w:r w:rsidRPr="00C44EE6">
              <w:rPr>
                <w:i/>
                <w:sz w:val="24"/>
              </w:rPr>
              <w:t xml:space="preserve"> году внешнеторговые операции с </w:t>
            </w:r>
            <w:r w:rsidRPr="00C44EE6">
              <w:rPr>
                <w:i/>
                <w:sz w:val="24"/>
                <w:lang w:val="ky-KG"/>
              </w:rPr>
              <w:t xml:space="preserve">66 </w:t>
            </w:r>
            <w:r w:rsidRPr="00C44EE6">
              <w:rPr>
                <w:i/>
                <w:sz w:val="24"/>
              </w:rPr>
              <w:t>странами мира.</w:t>
            </w:r>
          </w:p>
        </w:tc>
      </w:tr>
    </w:tbl>
    <w:p w14:paraId="07D63D8C" w14:textId="77777777" w:rsidR="001A703A" w:rsidRPr="00C44EE6" w:rsidRDefault="001A703A" w:rsidP="001A703A">
      <w:pPr>
        <w:ind w:firstLine="708"/>
        <w:jc w:val="both"/>
        <w:rPr>
          <w:sz w:val="24"/>
          <w:highlight w:val="yellow"/>
          <w:lang w:val="ky-KG"/>
        </w:rPr>
      </w:pPr>
    </w:p>
    <w:p w14:paraId="4B0A8220" w14:textId="77777777" w:rsidR="001A703A" w:rsidRPr="00C44EE6" w:rsidRDefault="001A703A" w:rsidP="001A703A">
      <w:pPr>
        <w:ind w:firstLine="708"/>
        <w:jc w:val="both"/>
        <w:rPr>
          <w:sz w:val="24"/>
          <w:highlight w:val="yellow"/>
          <w:lang w:val="ky-KG"/>
        </w:rPr>
      </w:pPr>
    </w:p>
    <w:tbl>
      <w:tblPr>
        <w:tblW w:w="9605" w:type="dxa"/>
        <w:tblInd w:w="142" w:type="dxa"/>
        <w:tblLook w:val="04A0" w:firstRow="1" w:lastRow="0" w:firstColumn="1" w:lastColumn="0" w:noHBand="0" w:noVBand="1"/>
      </w:tblPr>
      <w:tblGrid>
        <w:gridCol w:w="4785"/>
        <w:gridCol w:w="4820"/>
      </w:tblGrid>
      <w:tr w:rsidR="00C44EE6" w:rsidRPr="00C44EE6" w14:paraId="6BCA7FE4" w14:textId="77777777" w:rsidTr="00372228">
        <w:tc>
          <w:tcPr>
            <w:tcW w:w="4785" w:type="dxa"/>
          </w:tcPr>
          <w:p w14:paraId="6D2EE562" w14:textId="77777777" w:rsidR="001A703A" w:rsidRPr="00C44EE6" w:rsidRDefault="001A703A" w:rsidP="00132A0D">
            <w:pPr>
              <w:jc w:val="center"/>
              <w:rPr>
                <w:b/>
                <w:sz w:val="24"/>
              </w:rPr>
            </w:pPr>
            <w:r w:rsidRPr="00C44EE6">
              <w:rPr>
                <w:b/>
                <w:sz w:val="24"/>
                <w:lang w:val="ky-KG"/>
              </w:rPr>
              <w:t>Жалал-Абад</w:t>
            </w:r>
            <w:r w:rsidRPr="00C44EE6">
              <w:rPr>
                <w:b/>
                <w:sz w:val="24"/>
              </w:rPr>
              <w:t xml:space="preserve"> </w:t>
            </w:r>
            <w:proofErr w:type="spellStart"/>
            <w:r w:rsidRPr="00C44EE6">
              <w:rPr>
                <w:b/>
                <w:sz w:val="24"/>
              </w:rPr>
              <w:t>облусунун</w:t>
            </w:r>
            <w:proofErr w:type="spellEnd"/>
            <w:r w:rsidRPr="00C44EE6">
              <w:rPr>
                <w:b/>
                <w:sz w:val="24"/>
              </w:rPr>
              <w:t xml:space="preserve"> </w:t>
            </w:r>
            <w:proofErr w:type="spellStart"/>
            <w:r w:rsidRPr="00C44EE6">
              <w:rPr>
                <w:b/>
                <w:sz w:val="24"/>
              </w:rPr>
              <w:t>экспортунун</w:t>
            </w:r>
            <w:proofErr w:type="spellEnd"/>
            <w:r w:rsidRPr="00C44EE6">
              <w:rPr>
                <w:b/>
                <w:sz w:val="24"/>
              </w:rPr>
              <w:t xml:space="preserve"> </w:t>
            </w:r>
            <w:proofErr w:type="spellStart"/>
            <w:r w:rsidRPr="00C44EE6">
              <w:rPr>
                <w:b/>
                <w:sz w:val="24"/>
              </w:rPr>
              <w:t>географиялык</w:t>
            </w:r>
            <w:proofErr w:type="spellEnd"/>
            <w:r w:rsidRPr="00C44EE6">
              <w:rPr>
                <w:b/>
                <w:sz w:val="24"/>
              </w:rPr>
              <w:t xml:space="preserve"> </w:t>
            </w:r>
            <w:proofErr w:type="spellStart"/>
            <w:r w:rsidRPr="00C44EE6">
              <w:rPr>
                <w:b/>
                <w:sz w:val="24"/>
              </w:rPr>
              <w:t>структурасы</w:t>
            </w:r>
            <w:proofErr w:type="spellEnd"/>
            <w:r w:rsidRPr="00C44EE6">
              <w:rPr>
                <w:b/>
                <w:sz w:val="24"/>
              </w:rPr>
              <w:t>.</w:t>
            </w:r>
          </w:p>
          <w:p w14:paraId="3B22BFB0" w14:textId="77777777" w:rsidR="001A703A" w:rsidRPr="00C44EE6" w:rsidRDefault="001A703A" w:rsidP="00132A0D">
            <w:pPr>
              <w:pStyle w:val="a8"/>
              <w:spacing w:after="0"/>
              <w:ind w:left="0"/>
              <w:jc w:val="both"/>
              <w:rPr>
                <w:sz w:val="24"/>
                <w:lang w:val="ky-KG"/>
              </w:rPr>
            </w:pPr>
            <w:r w:rsidRPr="00C44EE6">
              <w:rPr>
                <w:sz w:val="24"/>
                <w:lang w:val="ky-KG"/>
              </w:rPr>
              <w:t>(жалпы көлөмгө карата пайыз менен)</w:t>
            </w:r>
          </w:p>
        </w:tc>
        <w:tc>
          <w:tcPr>
            <w:tcW w:w="4820" w:type="dxa"/>
          </w:tcPr>
          <w:p w14:paraId="3F2089BF" w14:textId="77777777" w:rsidR="001A703A" w:rsidRPr="00C44EE6" w:rsidRDefault="001A703A" w:rsidP="00132A0D">
            <w:pPr>
              <w:jc w:val="center"/>
              <w:rPr>
                <w:b/>
                <w:i/>
                <w:sz w:val="24"/>
              </w:rPr>
            </w:pPr>
            <w:r w:rsidRPr="00C44EE6">
              <w:rPr>
                <w:b/>
                <w:i/>
                <w:sz w:val="24"/>
              </w:rPr>
              <w:t xml:space="preserve">Географическая структура экспорта </w:t>
            </w:r>
            <w:r w:rsidRPr="00C44EE6">
              <w:rPr>
                <w:b/>
                <w:i/>
                <w:sz w:val="24"/>
                <w:lang w:val="ky-KG"/>
              </w:rPr>
              <w:t>Джалал-</w:t>
            </w:r>
            <w:proofErr w:type="gramStart"/>
            <w:r w:rsidRPr="00C44EE6">
              <w:rPr>
                <w:b/>
                <w:i/>
                <w:sz w:val="24"/>
                <w:lang w:val="ky-KG"/>
              </w:rPr>
              <w:t xml:space="preserve">Абадской </w:t>
            </w:r>
            <w:r w:rsidRPr="00C44EE6">
              <w:rPr>
                <w:b/>
                <w:i/>
                <w:sz w:val="24"/>
              </w:rPr>
              <w:t xml:space="preserve"> области</w:t>
            </w:r>
            <w:proofErr w:type="gramEnd"/>
            <w:r w:rsidRPr="00C44EE6">
              <w:rPr>
                <w:b/>
                <w:i/>
                <w:sz w:val="24"/>
              </w:rPr>
              <w:t>.</w:t>
            </w:r>
          </w:p>
          <w:p w14:paraId="5E5130D0" w14:textId="77777777" w:rsidR="001A703A" w:rsidRPr="00C44EE6" w:rsidRDefault="001A703A" w:rsidP="00132A0D">
            <w:pPr>
              <w:jc w:val="center"/>
              <w:rPr>
                <w:i/>
                <w:sz w:val="24"/>
              </w:rPr>
            </w:pPr>
            <w:r w:rsidRPr="00C44EE6">
              <w:rPr>
                <w:i/>
                <w:sz w:val="24"/>
              </w:rPr>
              <w:t>(в процентах к общему объему)</w:t>
            </w:r>
          </w:p>
        </w:tc>
      </w:tr>
    </w:tbl>
    <w:p w14:paraId="52992FFC" w14:textId="64564C9A" w:rsidR="001A703A" w:rsidRPr="004F00FC" w:rsidRDefault="00C70988" w:rsidP="001A703A">
      <w:pPr>
        <w:ind w:firstLine="708"/>
        <w:jc w:val="both"/>
        <w:rPr>
          <w:sz w:val="24"/>
        </w:rPr>
      </w:pPr>
      <w:r w:rsidRPr="00955E61">
        <w:rPr>
          <w:noProof/>
          <w:color w:val="FF0000"/>
        </w:rPr>
        <w:drawing>
          <wp:anchor distT="67056" distB="175387" distL="199644" distR="346710" simplePos="0" relativeHeight="251774976" behindDoc="0" locked="0" layoutInCell="1" allowOverlap="1" wp14:anchorId="5DC5A2F5" wp14:editId="297341B8">
            <wp:simplePos x="0" y="0"/>
            <wp:positionH relativeFrom="column">
              <wp:posOffset>365760</wp:posOffset>
            </wp:positionH>
            <wp:positionV relativeFrom="paragraph">
              <wp:posOffset>249555</wp:posOffset>
            </wp:positionV>
            <wp:extent cx="5412105" cy="2181225"/>
            <wp:effectExtent l="0" t="0" r="0" b="0"/>
            <wp:wrapTopAndBottom/>
            <wp:docPr id="2" name="Объект 35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anchor>
        </w:drawing>
      </w:r>
    </w:p>
    <w:tbl>
      <w:tblPr>
        <w:tblW w:w="9497" w:type="dxa"/>
        <w:tblInd w:w="250" w:type="dxa"/>
        <w:tblLook w:val="04A0" w:firstRow="1" w:lastRow="0" w:firstColumn="1" w:lastColumn="0" w:noHBand="0" w:noVBand="1"/>
      </w:tblPr>
      <w:tblGrid>
        <w:gridCol w:w="4677"/>
        <w:gridCol w:w="4820"/>
      </w:tblGrid>
      <w:tr w:rsidR="001A703A" w:rsidRPr="004F00FC" w14:paraId="211A0AAC" w14:textId="77777777" w:rsidTr="00132A0D">
        <w:tc>
          <w:tcPr>
            <w:tcW w:w="4677" w:type="dxa"/>
          </w:tcPr>
          <w:p w14:paraId="16C8F9A5" w14:textId="77777777" w:rsidR="00C70988" w:rsidRPr="00C44EE6" w:rsidRDefault="00C70988" w:rsidP="00C70988">
            <w:pPr>
              <w:pStyle w:val="a8"/>
              <w:spacing w:after="0"/>
              <w:ind w:left="0" w:firstLine="708"/>
              <w:jc w:val="both"/>
              <w:rPr>
                <w:sz w:val="24"/>
                <w:szCs w:val="24"/>
                <w:lang w:val="ky-KG"/>
              </w:rPr>
            </w:pPr>
            <w:r w:rsidRPr="00C44EE6">
              <w:rPr>
                <w:sz w:val="24"/>
                <w:szCs w:val="24"/>
                <w:lang w:val="ky-KG"/>
              </w:rPr>
              <w:t>2024-жылда 2023-жылга салыштырмалуу  мезгилинде товарлардын экспортунун структурасында –</w:t>
            </w:r>
            <w:r w:rsidRPr="00C44EE6">
              <w:rPr>
                <w:sz w:val="24"/>
                <w:lang w:val="ky-KG"/>
              </w:rPr>
              <w:t xml:space="preserve"> автомобилдик бензин 4591,2 тоннандан 7652,6 тоннага жогорулаган, а.э. д</w:t>
            </w:r>
            <w:r w:rsidRPr="00C44EE6">
              <w:rPr>
                <w:sz w:val="24"/>
                <w:szCs w:val="24"/>
                <w:lang w:val="ky-KG"/>
              </w:rPr>
              <w:t>изелдик отун экспорту  918,9 тоннадан 16424,8 тоннага көбөйгөн.</w:t>
            </w:r>
          </w:p>
          <w:p w14:paraId="02809ABF" w14:textId="77777777" w:rsidR="001A703A" w:rsidRPr="00C44EE6" w:rsidRDefault="001A703A" w:rsidP="00C70988">
            <w:pPr>
              <w:pStyle w:val="a8"/>
              <w:spacing w:after="0"/>
              <w:ind w:left="0" w:firstLine="708"/>
              <w:jc w:val="both"/>
              <w:rPr>
                <w:rFonts w:ascii="Calibri" w:hAnsi="Calibri"/>
                <w:sz w:val="18"/>
                <w:szCs w:val="18"/>
                <w:lang w:val="ky-KG"/>
              </w:rPr>
            </w:pPr>
          </w:p>
        </w:tc>
        <w:tc>
          <w:tcPr>
            <w:tcW w:w="4820" w:type="dxa"/>
          </w:tcPr>
          <w:p w14:paraId="04AD07F4" w14:textId="77777777" w:rsidR="00C70988" w:rsidRPr="00C44EE6" w:rsidRDefault="00C70988" w:rsidP="00C70988">
            <w:pPr>
              <w:pStyle w:val="a8"/>
              <w:spacing w:after="0"/>
              <w:ind w:left="0" w:firstLine="708"/>
              <w:jc w:val="both"/>
              <w:rPr>
                <w:i/>
                <w:sz w:val="24"/>
                <w:szCs w:val="24"/>
                <w:lang w:val="ky-KG"/>
              </w:rPr>
            </w:pPr>
            <w:r w:rsidRPr="00C44EE6">
              <w:rPr>
                <w:i/>
                <w:sz w:val="24"/>
                <w:szCs w:val="24"/>
                <w:lang w:val="ky-KG"/>
              </w:rPr>
              <w:t xml:space="preserve">По сравнению </w:t>
            </w:r>
            <w:r w:rsidRPr="00C44EE6">
              <w:rPr>
                <w:i/>
                <w:sz w:val="24"/>
                <w:szCs w:val="24"/>
              </w:rPr>
              <w:t>с 20</w:t>
            </w:r>
            <w:r w:rsidRPr="00C44EE6">
              <w:rPr>
                <w:i/>
                <w:sz w:val="24"/>
                <w:szCs w:val="24"/>
                <w:lang w:val="ky-KG"/>
              </w:rPr>
              <w:t>24годом</w:t>
            </w:r>
            <w:r w:rsidRPr="00C44EE6">
              <w:rPr>
                <w:i/>
                <w:sz w:val="24"/>
                <w:szCs w:val="24"/>
              </w:rPr>
              <w:t xml:space="preserve"> 20</w:t>
            </w:r>
            <w:r w:rsidRPr="00C44EE6">
              <w:rPr>
                <w:i/>
                <w:sz w:val="24"/>
                <w:szCs w:val="24"/>
                <w:lang w:val="ky-KG"/>
              </w:rPr>
              <w:t>24</w:t>
            </w:r>
            <w:r w:rsidRPr="00C44EE6">
              <w:rPr>
                <w:i/>
                <w:sz w:val="24"/>
                <w:szCs w:val="24"/>
              </w:rPr>
              <w:t xml:space="preserve"> год</w:t>
            </w:r>
            <w:r w:rsidRPr="00C44EE6">
              <w:rPr>
                <w:i/>
                <w:sz w:val="24"/>
                <w:szCs w:val="24"/>
                <w:lang w:val="ky-KG"/>
              </w:rPr>
              <w:t>у</w:t>
            </w:r>
            <w:r w:rsidRPr="00C44EE6">
              <w:rPr>
                <w:i/>
                <w:sz w:val="24"/>
                <w:szCs w:val="24"/>
              </w:rPr>
              <w:t xml:space="preserve"> в структуре экспорта товаров</w:t>
            </w:r>
            <w:r w:rsidRPr="00C44EE6">
              <w:rPr>
                <w:i/>
                <w:sz w:val="24"/>
                <w:szCs w:val="24"/>
                <w:lang w:val="ky-KG"/>
              </w:rPr>
              <w:t xml:space="preserve"> - увеличился  экспорт автомобильного бензина с 4591,2 тонн до 7652,6 тонн, а  дизельного топлива  с918,9  до 16424,8 тонн.</w:t>
            </w:r>
          </w:p>
          <w:p w14:paraId="678980AB" w14:textId="77777777" w:rsidR="001A703A" w:rsidRPr="00C44EE6" w:rsidRDefault="001A703A" w:rsidP="00C70988">
            <w:pPr>
              <w:pStyle w:val="a8"/>
              <w:spacing w:after="0"/>
              <w:ind w:left="0" w:firstLine="708"/>
              <w:jc w:val="both"/>
              <w:rPr>
                <w:i/>
                <w:sz w:val="24"/>
              </w:rPr>
            </w:pPr>
          </w:p>
        </w:tc>
      </w:tr>
      <w:tr w:rsidR="001A703A" w:rsidRPr="004F00FC" w14:paraId="34332A9F" w14:textId="77777777" w:rsidTr="00132A0D">
        <w:tc>
          <w:tcPr>
            <w:tcW w:w="4677" w:type="dxa"/>
          </w:tcPr>
          <w:p w14:paraId="7F182732" w14:textId="77777777" w:rsidR="001A703A" w:rsidRPr="00C44EE6" w:rsidRDefault="001A703A" w:rsidP="00132A0D">
            <w:pPr>
              <w:ind w:firstLine="743"/>
              <w:jc w:val="both"/>
              <w:rPr>
                <w:sz w:val="24"/>
                <w:lang w:val="ky-KG"/>
              </w:rPr>
            </w:pPr>
          </w:p>
        </w:tc>
        <w:tc>
          <w:tcPr>
            <w:tcW w:w="4820" w:type="dxa"/>
          </w:tcPr>
          <w:p w14:paraId="5CA4AAA4" w14:textId="77777777" w:rsidR="001A703A" w:rsidRPr="00C44EE6" w:rsidRDefault="001A703A" w:rsidP="00132A0D">
            <w:pPr>
              <w:ind w:firstLine="708"/>
              <w:jc w:val="both"/>
              <w:rPr>
                <w:i/>
                <w:sz w:val="24"/>
              </w:rPr>
            </w:pPr>
          </w:p>
        </w:tc>
      </w:tr>
      <w:tr w:rsidR="00C70988" w:rsidRPr="004F00FC" w14:paraId="1E55B3B7" w14:textId="77777777" w:rsidTr="00132A0D">
        <w:tc>
          <w:tcPr>
            <w:tcW w:w="4677" w:type="dxa"/>
          </w:tcPr>
          <w:p w14:paraId="29F6F5D2" w14:textId="2D2F50DE" w:rsidR="00C70988" w:rsidRPr="00C44EE6" w:rsidRDefault="00C70988" w:rsidP="00C70988">
            <w:pPr>
              <w:ind w:firstLine="708"/>
              <w:jc w:val="both"/>
              <w:rPr>
                <w:sz w:val="24"/>
              </w:rPr>
            </w:pPr>
            <w:r w:rsidRPr="00C44EE6">
              <w:rPr>
                <w:b/>
                <w:bCs/>
                <w:sz w:val="24"/>
                <w:lang w:val="ky-KG"/>
              </w:rPr>
              <w:t xml:space="preserve">Импорттук түшүүлөр </w:t>
            </w:r>
            <w:r w:rsidRPr="00C44EE6">
              <w:rPr>
                <w:sz w:val="24"/>
              </w:rPr>
              <w:t>20</w:t>
            </w:r>
            <w:r w:rsidRPr="00C44EE6">
              <w:rPr>
                <w:sz w:val="24"/>
                <w:lang w:val="ky-KG"/>
              </w:rPr>
              <w:t>24</w:t>
            </w:r>
            <w:r w:rsidRPr="00C44EE6">
              <w:rPr>
                <w:sz w:val="24"/>
              </w:rPr>
              <w:t xml:space="preserve"> - </w:t>
            </w:r>
            <w:proofErr w:type="spellStart"/>
            <w:r w:rsidRPr="00C44EE6">
              <w:rPr>
                <w:sz w:val="24"/>
              </w:rPr>
              <w:t>жылы</w:t>
            </w:r>
            <w:proofErr w:type="spellEnd"/>
            <w:r w:rsidRPr="00C44EE6">
              <w:rPr>
                <w:sz w:val="24"/>
              </w:rPr>
              <w:t xml:space="preserve"> </w:t>
            </w:r>
            <w:r w:rsidRPr="00C44EE6">
              <w:rPr>
                <w:sz w:val="24"/>
                <w:lang w:val="ky-KG"/>
              </w:rPr>
              <w:t>248,7</w:t>
            </w:r>
            <w:r w:rsidRPr="00C44EE6">
              <w:rPr>
                <w:sz w:val="24"/>
              </w:rPr>
              <w:t xml:space="preserve"> млн. </w:t>
            </w:r>
            <w:proofErr w:type="spellStart"/>
            <w:r w:rsidRPr="00C44EE6">
              <w:rPr>
                <w:sz w:val="24"/>
              </w:rPr>
              <w:t>долларды</w:t>
            </w:r>
            <w:proofErr w:type="spellEnd"/>
            <w:r w:rsidRPr="00C44EE6">
              <w:rPr>
                <w:sz w:val="24"/>
              </w:rPr>
              <w:t xml:space="preserve"> </w:t>
            </w:r>
            <w:proofErr w:type="spellStart"/>
            <w:r w:rsidRPr="00C44EE6">
              <w:rPr>
                <w:sz w:val="24"/>
              </w:rPr>
              <w:t>түздү</w:t>
            </w:r>
            <w:proofErr w:type="spellEnd"/>
            <w:r w:rsidRPr="00C44EE6">
              <w:rPr>
                <w:sz w:val="24"/>
              </w:rPr>
              <w:t xml:space="preserve"> </w:t>
            </w:r>
            <w:proofErr w:type="spellStart"/>
            <w:proofErr w:type="gramStart"/>
            <w:r w:rsidRPr="00C44EE6">
              <w:rPr>
                <w:sz w:val="24"/>
              </w:rPr>
              <w:t>жана</w:t>
            </w:r>
            <w:proofErr w:type="spellEnd"/>
            <w:r w:rsidRPr="00C44EE6">
              <w:rPr>
                <w:sz w:val="24"/>
              </w:rPr>
              <w:t xml:space="preserve">  </w:t>
            </w:r>
            <w:r w:rsidRPr="00C44EE6">
              <w:rPr>
                <w:sz w:val="24"/>
                <w:lang w:val="ky-KG"/>
              </w:rPr>
              <w:t>3</w:t>
            </w:r>
            <w:proofErr w:type="spellStart"/>
            <w:proofErr w:type="gramEnd"/>
            <w:r w:rsidRPr="00C44EE6">
              <w:rPr>
                <w:sz w:val="24"/>
              </w:rPr>
              <w:t>жылга</w:t>
            </w:r>
            <w:proofErr w:type="spellEnd"/>
            <w:r w:rsidRPr="00C44EE6">
              <w:rPr>
                <w:sz w:val="24"/>
              </w:rPr>
              <w:t xml:space="preserve"> </w:t>
            </w:r>
            <w:proofErr w:type="spellStart"/>
            <w:r w:rsidRPr="00C44EE6">
              <w:rPr>
                <w:sz w:val="24"/>
              </w:rPr>
              <w:t>караганда</w:t>
            </w:r>
            <w:proofErr w:type="spellEnd"/>
            <w:r w:rsidRPr="00C44EE6">
              <w:rPr>
                <w:sz w:val="24"/>
              </w:rPr>
              <w:t xml:space="preserve">   </w:t>
            </w:r>
            <w:r w:rsidRPr="00C44EE6">
              <w:rPr>
                <w:sz w:val="24"/>
                <w:lang w:val="ky-KG"/>
              </w:rPr>
              <w:t>86,2</w:t>
            </w:r>
            <w:r w:rsidRPr="00C44EE6">
              <w:rPr>
                <w:sz w:val="24"/>
              </w:rPr>
              <w:t xml:space="preserve"> </w:t>
            </w:r>
            <w:proofErr w:type="gramStart"/>
            <w:r w:rsidRPr="00C44EE6">
              <w:rPr>
                <w:sz w:val="24"/>
                <w:lang w:val="ky-KG"/>
              </w:rPr>
              <w:t>пайызга</w:t>
            </w:r>
            <w:r w:rsidRPr="00C44EE6">
              <w:rPr>
                <w:sz w:val="24"/>
              </w:rPr>
              <w:t xml:space="preserve">  </w:t>
            </w:r>
            <w:r w:rsidRPr="00C44EE6">
              <w:rPr>
                <w:sz w:val="24"/>
                <w:lang w:val="ky-KG"/>
              </w:rPr>
              <w:t>төмөндөгөн</w:t>
            </w:r>
            <w:proofErr w:type="gramEnd"/>
            <w:r w:rsidRPr="00C44EE6">
              <w:rPr>
                <w:b/>
                <w:sz w:val="24"/>
              </w:rPr>
              <w:t>.</w:t>
            </w:r>
          </w:p>
        </w:tc>
        <w:tc>
          <w:tcPr>
            <w:tcW w:w="4820" w:type="dxa"/>
          </w:tcPr>
          <w:p w14:paraId="02414DE3" w14:textId="4A193D1C" w:rsidR="00C70988" w:rsidRPr="00C44EE6" w:rsidRDefault="00C70988" w:rsidP="00C70988">
            <w:pPr>
              <w:ind w:firstLine="708"/>
              <w:jc w:val="both"/>
              <w:rPr>
                <w:i/>
                <w:sz w:val="24"/>
              </w:rPr>
            </w:pPr>
            <w:r w:rsidRPr="00C44EE6">
              <w:rPr>
                <w:b/>
                <w:bCs/>
                <w:i/>
                <w:sz w:val="24"/>
              </w:rPr>
              <w:t>Импортные поступления</w:t>
            </w:r>
            <w:r w:rsidRPr="00C44EE6">
              <w:rPr>
                <w:b/>
                <w:bCs/>
                <w:i/>
                <w:sz w:val="24"/>
                <w:lang w:val="ky-KG"/>
              </w:rPr>
              <w:t xml:space="preserve"> </w:t>
            </w:r>
            <w:proofErr w:type="gramStart"/>
            <w:r w:rsidRPr="00C44EE6">
              <w:rPr>
                <w:i/>
                <w:sz w:val="24"/>
              </w:rPr>
              <w:t>в  20</w:t>
            </w:r>
            <w:r w:rsidRPr="00C44EE6">
              <w:rPr>
                <w:i/>
                <w:sz w:val="24"/>
                <w:lang w:val="ky-KG"/>
              </w:rPr>
              <w:t>24</w:t>
            </w:r>
            <w:proofErr w:type="gramEnd"/>
            <w:r w:rsidRPr="00C44EE6">
              <w:rPr>
                <w:i/>
                <w:sz w:val="24"/>
              </w:rPr>
              <w:t>году составили</w:t>
            </w:r>
            <w:r w:rsidRPr="00C44EE6">
              <w:rPr>
                <w:i/>
                <w:sz w:val="24"/>
                <w:lang w:val="ky-KG"/>
              </w:rPr>
              <w:t xml:space="preserve"> 215,6</w:t>
            </w:r>
            <w:r w:rsidRPr="00C44EE6">
              <w:rPr>
                <w:i/>
                <w:sz w:val="24"/>
              </w:rPr>
              <w:t xml:space="preserve"> млн. долларов и по сравнению </w:t>
            </w:r>
            <w:proofErr w:type="gramStart"/>
            <w:r w:rsidRPr="00C44EE6">
              <w:rPr>
                <w:i/>
                <w:sz w:val="24"/>
              </w:rPr>
              <w:t>с  20</w:t>
            </w:r>
            <w:r w:rsidRPr="00C44EE6">
              <w:rPr>
                <w:i/>
                <w:sz w:val="24"/>
                <w:lang w:val="ky-KG"/>
              </w:rPr>
              <w:t>23</w:t>
            </w:r>
            <w:proofErr w:type="gramEnd"/>
            <w:r w:rsidRPr="00C44EE6">
              <w:rPr>
                <w:i/>
                <w:sz w:val="24"/>
              </w:rPr>
              <w:t xml:space="preserve"> годом </w:t>
            </w:r>
            <w:r w:rsidRPr="00C44EE6">
              <w:rPr>
                <w:i/>
                <w:sz w:val="24"/>
                <w:lang w:val="ky-KG"/>
              </w:rPr>
              <w:t>уменьши</w:t>
            </w:r>
            <w:proofErr w:type="spellStart"/>
            <w:r w:rsidRPr="00C44EE6">
              <w:rPr>
                <w:i/>
                <w:sz w:val="24"/>
              </w:rPr>
              <w:t>лись</w:t>
            </w:r>
            <w:proofErr w:type="spellEnd"/>
            <w:r w:rsidRPr="00C44EE6">
              <w:rPr>
                <w:i/>
                <w:sz w:val="24"/>
              </w:rPr>
              <w:t xml:space="preserve"> и составили </w:t>
            </w:r>
            <w:r w:rsidRPr="00C44EE6">
              <w:rPr>
                <w:i/>
                <w:sz w:val="24"/>
                <w:lang w:val="ky-KG"/>
              </w:rPr>
              <w:t>86,2 процента</w:t>
            </w:r>
            <w:r w:rsidRPr="00C44EE6">
              <w:rPr>
                <w:i/>
                <w:sz w:val="24"/>
              </w:rPr>
              <w:t>.</w:t>
            </w:r>
          </w:p>
        </w:tc>
      </w:tr>
      <w:tr w:rsidR="00C70988" w:rsidRPr="004F00FC" w14:paraId="0033081C" w14:textId="77777777" w:rsidTr="00132A0D">
        <w:tc>
          <w:tcPr>
            <w:tcW w:w="4677" w:type="dxa"/>
          </w:tcPr>
          <w:p w14:paraId="58DC3A70" w14:textId="698A9A1A" w:rsidR="00C70988" w:rsidRPr="00C44EE6" w:rsidRDefault="00C70988" w:rsidP="00C70988">
            <w:pPr>
              <w:ind w:firstLine="708"/>
              <w:jc w:val="both"/>
              <w:rPr>
                <w:b/>
                <w:bCs/>
                <w:sz w:val="24"/>
                <w:lang w:val="ky-KG"/>
              </w:rPr>
            </w:pPr>
            <w:r w:rsidRPr="00C44EE6">
              <w:rPr>
                <w:sz w:val="24"/>
                <w:szCs w:val="24"/>
                <w:lang w:val="ky-KG"/>
              </w:rPr>
              <w:t>Импорттук түшүүлөрдүн дээрлик  баардык көлөмүн буудай, цемент ,</w:t>
            </w:r>
            <w:r w:rsidRPr="00C44EE6">
              <w:rPr>
                <w:sz w:val="24"/>
                <w:szCs w:val="24"/>
              </w:rPr>
              <w:t xml:space="preserve"> </w:t>
            </w:r>
            <w:r w:rsidRPr="00C44EE6">
              <w:rPr>
                <w:sz w:val="24"/>
                <w:szCs w:val="24"/>
                <w:lang w:val="ky-KG"/>
              </w:rPr>
              <w:t>о</w:t>
            </w:r>
            <w:proofErr w:type="spellStart"/>
            <w:r w:rsidRPr="00C44EE6">
              <w:rPr>
                <w:sz w:val="24"/>
                <w:szCs w:val="24"/>
              </w:rPr>
              <w:t>рганикалык</w:t>
            </w:r>
            <w:proofErr w:type="spellEnd"/>
            <w:r w:rsidRPr="00C44EE6">
              <w:rPr>
                <w:sz w:val="24"/>
                <w:szCs w:val="24"/>
              </w:rPr>
              <w:t xml:space="preserve"> </w:t>
            </w:r>
            <w:r w:rsidRPr="00C44EE6">
              <w:rPr>
                <w:sz w:val="24"/>
                <w:szCs w:val="24"/>
                <w:lang w:val="ky-KG"/>
              </w:rPr>
              <w:t xml:space="preserve">жана органикалык эмес </w:t>
            </w:r>
            <w:proofErr w:type="spellStart"/>
            <w:r w:rsidRPr="00C44EE6">
              <w:rPr>
                <w:sz w:val="24"/>
                <w:szCs w:val="24"/>
              </w:rPr>
              <w:t>химиялык</w:t>
            </w:r>
            <w:proofErr w:type="spellEnd"/>
            <w:r w:rsidRPr="00C44EE6">
              <w:rPr>
                <w:sz w:val="24"/>
                <w:szCs w:val="24"/>
              </w:rPr>
              <w:t xml:space="preserve"> </w:t>
            </w:r>
            <w:proofErr w:type="spellStart"/>
            <w:r w:rsidRPr="00C44EE6">
              <w:rPr>
                <w:sz w:val="24"/>
                <w:szCs w:val="24"/>
              </w:rPr>
              <w:t>заттар</w:t>
            </w:r>
            <w:proofErr w:type="spellEnd"/>
            <w:r w:rsidRPr="00C44EE6">
              <w:rPr>
                <w:sz w:val="24"/>
                <w:szCs w:val="24"/>
                <w:lang w:val="ky-KG"/>
              </w:rPr>
              <w:t xml:space="preserve"> түзгөн. 2024-жылы жер семирткичтердин жана цементтин импорту өскөн.</w:t>
            </w:r>
          </w:p>
        </w:tc>
        <w:tc>
          <w:tcPr>
            <w:tcW w:w="4820" w:type="dxa"/>
          </w:tcPr>
          <w:p w14:paraId="13BACC0F" w14:textId="4E1F5764" w:rsidR="00C70988" w:rsidRPr="00C44EE6" w:rsidRDefault="00C70988" w:rsidP="00C70988">
            <w:pPr>
              <w:ind w:firstLine="708"/>
              <w:jc w:val="both"/>
              <w:rPr>
                <w:b/>
                <w:bCs/>
                <w:i/>
                <w:sz w:val="24"/>
                <w:lang w:val="ky-KG"/>
              </w:rPr>
            </w:pPr>
            <w:r w:rsidRPr="00C44EE6">
              <w:rPr>
                <w:i/>
                <w:sz w:val="24"/>
              </w:rPr>
              <w:t>В объеме импортных поступлений наибольший удельный вес занимают</w:t>
            </w:r>
            <w:r w:rsidRPr="00C44EE6">
              <w:rPr>
                <w:i/>
                <w:sz w:val="24"/>
                <w:lang w:val="ky-KG"/>
              </w:rPr>
              <w:t xml:space="preserve"> </w:t>
            </w:r>
            <w:proofErr w:type="spellStart"/>
            <w:r w:rsidRPr="00C44EE6">
              <w:rPr>
                <w:i/>
                <w:sz w:val="24"/>
              </w:rPr>
              <w:t>пшенница</w:t>
            </w:r>
            <w:proofErr w:type="spellEnd"/>
            <w:r w:rsidRPr="00C44EE6">
              <w:rPr>
                <w:i/>
                <w:sz w:val="24"/>
              </w:rPr>
              <w:t>,</w:t>
            </w:r>
            <w:r w:rsidRPr="00C44EE6">
              <w:rPr>
                <w:i/>
                <w:sz w:val="24"/>
                <w:lang w:val="ky-KG"/>
              </w:rPr>
              <w:t xml:space="preserve"> цемент, органические и неорганические химические вещества.</w:t>
            </w:r>
            <w:r w:rsidRPr="00C44EE6">
              <w:rPr>
                <w:i/>
                <w:sz w:val="24"/>
              </w:rPr>
              <w:t xml:space="preserve"> </w:t>
            </w:r>
            <w:r w:rsidRPr="00C44EE6">
              <w:rPr>
                <w:i/>
                <w:sz w:val="24"/>
                <w:lang w:val="ky-KG"/>
              </w:rPr>
              <w:t>В 2024году увеличился объем импорта удобрений и цемента.</w:t>
            </w:r>
          </w:p>
        </w:tc>
      </w:tr>
    </w:tbl>
    <w:p w14:paraId="40CAD78A" w14:textId="77777777" w:rsidR="001A703A" w:rsidRDefault="001A703A" w:rsidP="001A703A"/>
    <w:p w14:paraId="315AF0C9" w14:textId="77777777" w:rsidR="006D07F0" w:rsidRDefault="006D07F0" w:rsidP="001A703A"/>
    <w:p w14:paraId="4B5072B3" w14:textId="77777777" w:rsidR="006D07F0" w:rsidRDefault="006D07F0" w:rsidP="001A703A"/>
    <w:p w14:paraId="7341B3FC" w14:textId="77777777" w:rsidR="006D07F0" w:rsidRPr="004F00FC" w:rsidRDefault="006D07F0" w:rsidP="001A703A"/>
    <w:tbl>
      <w:tblPr>
        <w:tblW w:w="9497" w:type="dxa"/>
        <w:tblInd w:w="250" w:type="dxa"/>
        <w:tblLook w:val="04A0" w:firstRow="1" w:lastRow="0" w:firstColumn="1" w:lastColumn="0" w:noHBand="0" w:noVBand="1"/>
      </w:tblPr>
      <w:tblGrid>
        <w:gridCol w:w="4677"/>
        <w:gridCol w:w="4820"/>
      </w:tblGrid>
      <w:tr w:rsidR="00C44EE6" w:rsidRPr="00C44EE6" w14:paraId="554A98B1" w14:textId="77777777" w:rsidTr="00132A0D">
        <w:tc>
          <w:tcPr>
            <w:tcW w:w="4677" w:type="dxa"/>
          </w:tcPr>
          <w:p w14:paraId="40BB99E8" w14:textId="77777777" w:rsidR="001A703A" w:rsidRPr="00C44EE6" w:rsidRDefault="001A703A" w:rsidP="00132A0D">
            <w:pPr>
              <w:pStyle w:val="a8"/>
              <w:spacing w:after="0"/>
              <w:ind w:left="0"/>
              <w:jc w:val="center"/>
              <w:rPr>
                <w:b/>
                <w:sz w:val="24"/>
              </w:rPr>
            </w:pPr>
            <w:r w:rsidRPr="00C44EE6">
              <w:rPr>
                <w:b/>
                <w:sz w:val="24"/>
                <w:lang w:val="ky-KG"/>
              </w:rPr>
              <w:t>Жалал-Абад</w:t>
            </w:r>
            <w:r w:rsidRPr="00C44EE6">
              <w:rPr>
                <w:b/>
                <w:sz w:val="24"/>
              </w:rPr>
              <w:t xml:space="preserve"> </w:t>
            </w:r>
            <w:proofErr w:type="spellStart"/>
            <w:r w:rsidRPr="00C44EE6">
              <w:rPr>
                <w:b/>
                <w:sz w:val="24"/>
              </w:rPr>
              <w:t>облусунун</w:t>
            </w:r>
            <w:proofErr w:type="spellEnd"/>
            <w:r w:rsidRPr="00C44EE6">
              <w:rPr>
                <w:b/>
                <w:sz w:val="24"/>
              </w:rPr>
              <w:t xml:space="preserve"> </w:t>
            </w:r>
            <w:proofErr w:type="spellStart"/>
            <w:r w:rsidRPr="00C44EE6">
              <w:rPr>
                <w:b/>
                <w:sz w:val="24"/>
              </w:rPr>
              <w:t>импортунун</w:t>
            </w:r>
            <w:proofErr w:type="spellEnd"/>
            <w:r w:rsidRPr="00C44EE6">
              <w:rPr>
                <w:b/>
                <w:sz w:val="24"/>
              </w:rPr>
              <w:t xml:space="preserve"> </w:t>
            </w:r>
            <w:proofErr w:type="spellStart"/>
            <w:r w:rsidRPr="00C44EE6">
              <w:rPr>
                <w:b/>
                <w:sz w:val="24"/>
              </w:rPr>
              <w:t>географиялык</w:t>
            </w:r>
            <w:proofErr w:type="spellEnd"/>
            <w:r w:rsidRPr="00C44EE6">
              <w:rPr>
                <w:b/>
                <w:sz w:val="24"/>
              </w:rPr>
              <w:t xml:space="preserve"> </w:t>
            </w:r>
            <w:proofErr w:type="spellStart"/>
            <w:r w:rsidRPr="00C44EE6">
              <w:rPr>
                <w:b/>
                <w:sz w:val="24"/>
              </w:rPr>
              <w:t>структурасы</w:t>
            </w:r>
            <w:proofErr w:type="spellEnd"/>
            <w:r w:rsidRPr="00C44EE6">
              <w:rPr>
                <w:b/>
                <w:sz w:val="24"/>
              </w:rPr>
              <w:t>.</w:t>
            </w:r>
          </w:p>
          <w:p w14:paraId="780C3A29" w14:textId="77777777" w:rsidR="001A703A" w:rsidRPr="00C44EE6" w:rsidRDefault="001A703A" w:rsidP="00132A0D">
            <w:pPr>
              <w:jc w:val="both"/>
              <w:rPr>
                <w:b/>
                <w:sz w:val="24"/>
                <w:lang w:val="ky-KG"/>
              </w:rPr>
            </w:pPr>
            <w:r w:rsidRPr="00C44EE6">
              <w:rPr>
                <w:sz w:val="24"/>
                <w:lang w:val="ky-KG"/>
              </w:rPr>
              <w:t>(жалпы көлөмгө карата пайыз менен)</w:t>
            </w:r>
          </w:p>
        </w:tc>
        <w:tc>
          <w:tcPr>
            <w:tcW w:w="4820" w:type="dxa"/>
          </w:tcPr>
          <w:p w14:paraId="082031C8" w14:textId="77777777" w:rsidR="001A703A" w:rsidRPr="00C44EE6" w:rsidRDefault="001A703A" w:rsidP="00132A0D">
            <w:pPr>
              <w:jc w:val="center"/>
              <w:rPr>
                <w:b/>
                <w:i/>
                <w:sz w:val="24"/>
              </w:rPr>
            </w:pPr>
            <w:r w:rsidRPr="00C44EE6">
              <w:rPr>
                <w:b/>
                <w:i/>
                <w:sz w:val="24"/>
              </w:rPr>
              <w:t>Географическая структура импорта</w:t>
            </w:r>
          </w:p>
          <w:p w14:paraId="562274EF" w14:textId="77777777" w:rsidR="001A703A" w:rsidRPr="00C44EE6" w:rsidRDefault="001A703A" w:rsidP="00132A0D">
            <w:pPr>
              <w:jc w:val="center"/>
              <w:rPr>
                <w:b/>
                <w:i/>
                <w:sz w:val="24"/>
              </w:rPr>
            </w:pPr>
            <w:r w:rsidRPr="00C44EE6">
              <w:rPr>
                <w:b/>
                <w:i/>
                <w:sz w:val="24"/>
              </w:rPr>
              <w:t xml:space="preserve"> </w:t>
            </w:r>
            <w:r w:rsidRPr="00C44EE6">
              <w:rPr>
                <w:b/>
                <w:i/>
                <w:sz w:val="24"/>
                <w:lang w:val="ky-KG"/>
              </w:rPr>
              <w:t xml:space="preserve">Джалал-Абадской </w:t>
            </w:r>
            <w:r w:rsidRPr="00C44EE6">
              <w:rPr>
                <w:b/>
                <w:i/>
                <w:sz w:val="24"/>
              </w:rPr>
              <w:t xml:space="preserve"> области.</w:t>
            </w:r>
          </w:p>
          <w:p w14:paraId="02ECE645" w14:textId="77777777" w:rsidR="001A703A" w:rsidRPr="00C44EE6" w:rsidRDefault="001A703A" w:rsidP="00132A0D">
            <w:pPr>
              <w:ind w:firstLine="708"/>
              <w:jc w:val="both"/>
              <w:rPr>
                <w:sz w:val="24"/>
              </w:rPr>
            </w:pPr>
            <w:r w:rsidRPr="00C44EE6">
              <w:rPr>
                <w:i/>
                <w:sz w:val="24"/>
              </w:rPr>
              <w:t>(в процентах к общему объему)</w:t>
            </w:r>
          </w:p>
        </w:tc>
      </w:tr>
    </w:tbl>
    <w:p w14:paraId="29D09DEA" w14:textId="4F5A92AE" w:rsidR="001A703A" w:rsidRPr="00C44EE6" w:rsidRDefault="001A703A" w:rsidP="001A703A">
      <w:pPr>
        <w:ind w:firstLine="708"/>
        <w:jc w:val="both"/>
        <w:rPr>
          <w:i/>
          <w:sz w:val="24"/>
          <w:szCs w:val="24"/>
        </w:rPr>
      </w:pPr>
      <w:r w:rsidRPr="00C44EE6">
        <w:rPr>
          <w:sz w:val="24"/>
        </w:rPr>
        <w:tab/>
      </w:r>
      <w:r w:rsidR="00C70988" w:rsidRPr="00C44EE6">
        <w:rPr>
          <w:noProof/>
        </w:rPr>
        <w:drawing>
          <wp:anchor distT="67056" distB="175387" distL="199644" distR="346710" simplePos="0" relativeHeight="251777024" behindDoc="0" locked="0" layoutInCell="1" allowOverlap="1" wp14:anchorId="60BA03B6" wp14:editId="5B2D5500">
            <wp:simplePos x="0" y="0"/>
            <wp:positionH relativeFrom="column">
              <wp:posOffset>0</wp:posOffset>
            </wp:positionH>
            <wp:positionV relativeFrom="paragraph">
              <wp:posOffset>238125</wp:posOffset>
            </wp:positionV>
            <wp:extent cx="5774055" cy="2181225"/>
            <wp:effectExtent l="0" t="0" r="0" b="0"/>
            <wp:wrapTopAndBottom/>
            <wp:docPr id="1529780590" name="Объект 35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p>
    <w:tbl>
      <w:tblPr>
        <w:tblW w:w="9497" w:type="dxa"/>
        <w:tblInd w:w="250" w:type="dxa"/>
        <w:tblLook w:val="04A0" w:firstRow="1" w:lastRow="0" w:firstColumn="1" w:lastColumn="0" w:noHBand="0" w:noVBand="1"/>
      </w:tblPr>
      <w:tblGrid>
        <w:gridCol w:w="4677"/>
        <w:gridCol w:w="4820"/>
      </w:tblGrid>
      <w:tr w:rsidR="00C44EE6" w:rsidRPr="00C44EE6" w14:paraId="702D7059" w14:textId="77777777" w:rsidTr="00132A0D">
        <w:tc>
          <w:tcPr>
            <w:tcW w:w="4677" w:type="dxa"/>
          </w:tcPr>
          <w:p w14:paraId="4346DBCC" w14:textId="597F980F" w:rsidR="001A703A" w:rsidRPr="00C44EE6" w:rsidRDefault="00C70988" w:rsidP="00132A0D">
            <w:pPr>
              <w:ind w:firstLine="708"/>
              <w:jc w:val="both"/>
              <w:rPr>
                <w:i/>
                <w:sz w:val="24"/>
              </w:rPr>
            </w:pPr>
            <w:r w:rsidRPr="00C44EE6">
              <w:rPr>
                <w:sz w:val="24"/>
                <w:szCs w:val="24"/>
                <w:lang w:val="ky-KG"/>
              </w:rPr>
              <w:t xml:space="preserve">Алыскы чет өлкөлөрдүн ичинен  негизги импорттук түшүүлөр </w:t>
            </w:r>
            <w:proofErr w:type="spellStart"/>
            <w:r w:rsidRPr="00C44EE6">
              <w:rPr>
                <w:sz w:val="24"/>
                <w:szCs w:val="24"/>
              </w:rPr>
              <w:t>Кытай</w:t>
            </w:r>
            <w:proofErr w:type="spellEnd"/>
            <w:r w:rsidRPr="00C44EE6">
              <w:rPr>
                <w:sz w:val="24"/>
                <w:szCs w:val="24"/>
                <w:lang w:val="ky-KG"/>
              </w:rPr>
              <w:t xml:space="preserve">дан – 80087,7 </w:t>
            </w:r>
            <w:proofErr w:type="spellStart"/>
            <w:r w:rsidRPr="00C44EE6">
              <w:rPr>
                <w:sz w:val="24"/>
                <w:szCs w:val="24"/>
              </w:rPr>
              <w:t>миң</w:t>
            </w:r>
            <w:proofErr w:type="spellEnd"/>
            <w:r w:rsidRPr="00C44EE6">
              <w:rPr>
                <w:sz w:val="24"/>
                <w:szCs w:val="24"/>
              </w:rPr>
              <w:t xml:space="preserve"> доллар</w:t>
            </w:r>
            <w:r w:rsidRPr="00C44EE6">
              <w:rPr>
                <w:sz w:val="24"/>
                <w:szCs w:val="24"/>
                <w:lang w:val="ky-KG"/>
              </w:rPr>
              <w:t>га</w:t>
            </w:r>
            <w:r w:rsidRPr="00C44EE6">
              <w:rPr>
                <w:sz w:val="24"/>
                <w:szCs w:val="24"/>
              </w:rPr>
              <w:t xml:space="preserve">,  </w:t>
            </w:r>
            <w:proofErr w:type="spellStart"/>
            <w:r w:rsidRPr="00C44EE6">
              <w:rPr>
                <w:sz w:val="24"/>
                <w:szCs w:val="24"/>
              </w:rPr>
              <w:t>Түркиядан</w:t>
            </w:r>
            <w:proofErr w:type="spellEnd"/>
            <w:r w:rsidRPr="00C44EE6">
              <w:rPr>
                <w:sz w:val="24"/>
                <w:szCs w:val="24"/>
              </w:rPr>
              <w:t xml:space="preserve"> – </w:t>
            </w:r>
            <w:r w:rsidRPr="00C44EE6">
              <w:rPr>
                <w:sz w:val="24"/>
                <w:szCs w:val="24"/>
                <w:lang w:val="ky-KG"/>
              </w:rPr>
              <w:t>6760,7 миң долларга түшкөн.</w:t>
            </w:r>
          </w:p>
        </w:tc>
        <w:tc>
          <w:tcPr>
            <w:tcW w:w="4820" w:type="dxa"/>
          </w:tcPr>
          <w:p w14:paraId="106AE705" w14:textId="256A28B5" w:rsidR="001A703A" w:rsidRPr="00C44EE6" w:rsidRDefault="00C70988" w:rsidP="00132A0D">
            <w:pPr>
              <w:ind w:firstLine="708"/>
              <w:jc w:val="both"/>
              <w:rPr>
                <w:i/>
                <w:sz w:val="24"/>
              </w:rPr>
            </w:pPr>
            <w:r w:rsidRPr="00C44EE6">
              <w:rPr>
                <w:i/>
                <w:sz w:val="24"/>
                <w:szCs w:val="24"/>
                <w:lang w:val="ky-KG"/>
              </w:rPr>
              <w:t>Основными и</w:t>
            </w:r>
            <w:proofErr w:type="spellStart"/>
            <w:r w:rsidRPr="00C44EE6">
              <w:rPr>
                <w:i/>
                <w:sz w:val="24"/>
                <w:szCs w:val="24"/>
              </w:rPr>
              <w:t>мпортерами</w:t>
            </w:r>
            <w:proofErr w:type="spellEnd"/>
            <w:r w:rsidRPr="00C44EE6">
              <w:rPr>
                <w:i/>
                <w:sz w:val="24"/>
                <w:szCs w:val="24"/>
              </w:rPr>
              <w:t xml:space="preserve">  по дальнему зарубежью является  Китай, поставлено продукции на сумму  </w:t>
            </w:r>
            <w:r w:rsidRPr="00C44EE6">
              <w:rPr>
                <w:i/>
                <w:sz w:val="24"/>
                <w:szCs w:val="24"/>
                <w:lang w:val="ky-KG"/>
              </w:rPr>
              <w:t>80097,7</w:t>
            </w:r>
            <w:r w:rsidRPr="00C44EE6">
              <w:rPr>
                <w:i/>
                <w:sz w:val="24"/>
                <w:szCs w:val="24"/>
              </w:rPr>
              <w:t xml:space="preserve"> тыс. долларов, </w:t>
            </w:r>
            <w:proofErr w:type="spellStart"/>
            <w:r w:rsidRPr="00C44EE6">
              <w:rPr>
                <w:i/>
                <w:sz w:val="24"/>
                <w:szCs w:val="24"/>
              </w:rPr>
              <w:t>Турци</w:t>
            </w:r>
            <w:proofErr w:type="spellEnd"/>
            <w:r w:rsidRPr="00C44EE6">
              <w:rPr>
                <w:i/>
                <w:sz w:val="24"/>
                <w:szCs w:val="24"/>
                <w:lang w:val="ky-KG"/>
              </w:rPr>
              <w:t>я</w:t>
            </w:r>
            <w:r w:rsidRPr="00C44EE6">
              <w:rPr>
                <w:i/>
                <w:sz w:val="24"/>
                <w:szCs w:val="24"/>
              </w:rPr>
              <w:t xml:space="preserve"> – </w:t>
            </w:r>
            <w:r w:rsidRPr="00C44EE6">
              <w:rPr>
                <w:i/>
                <w:sz w:val="24"/>
                <w:szCs w:val="24"/>
                <w:lang w:val="ky-KG"/>
              </w:rPr>
              <w:t>6760,7</w:t>
            </w:r>
            <w:r w:rsidRPr="00C44EE6">
              <w:rPr>
                <w:i/>
                <w:sz w:val="24"/>
                <w:szCs w:val="24"/>
              </w:rPr>
              <w:t xml:space="preserve"> тыс. долларов.</w:t>
            </w:r>
          </w:p>
        </w:tc>
      </w:tr>
      <w:tr w:rsidR="00C44EE6" w:rsidRPr="00C44EE6" w14:paraId="4F660BCD" w14:textId="77777777" w:rsidTr="00132A0D">
        <w:tc>
          <w:tcPr>
            <w:tcW w:w="4677" w:type="dxa"/>
          </w:tcPr>
          <w:p w14:paraId="1A3BF5C1" w14:textId="7C9C4AC1" w:rsidR="001A703A" w:rsidRPr="00C44EE6" w:rsidRDefault="00C70988" w:rsidP="00132A0D">
            <w:pPr>
              <w:ind w:firstLine="708"/>
              <w:jc w:val="both"/>
              <w:rPr>
                <w:sz w:val="24"/>
                <w:szCs w:val="24"/>
                <w:lang w:val="ky-KG"/>
              </w:rPr>
            </w:pPr>
            <w:r w:rsidRPr="00C44EE6">
              <w:rPr>
                <w:sz w:val="24"/>
                <w:szCs w:val="24"/>
                <w:lang w:val="ky-KG"/>
              </w:rPr>
              <w:t>Евразия экономикалык  бирдигинин мамлекеттеринен (ЕАЭБ) – Казакстандан – 54043,3 миң доллар, Орусиядан – 26655,3 миң доллар түшкөн.</w:t>
            </w:r>
            <w:r w:rsidR="001A703A" w:rsidRPr="00C44EE6">
              <w:rPr>
                <w:sz w:val="24"/>
                <w:szCs w:val="24"/>
                <w:lang w:val="ky-KG"/>
              </w:rPr>
              <w:t>.</w:t>
            </w:r>
          </w:p>
        </w:tc>
        <w:tc>
          <w:tcPr>
            <w:tcW w:w="4820" w:type="dxa"/>
          </w:tcPr>
          <w:p w14:paraId="094FA47D" w14:textId="439A9FD8" w:rsidR="001A703A" w:rsidRPr="00C44EE6" w:rsidRDefault="00C70988" w:rsidP="00132A0D">
            <w:pPr>
              <w:ind w:firstLine="708"/>
              <w:jc w:val="both"/>
              <w:rPr>
                <w:i/>
                <w:sz w:val="24"/>
                <w:szCs w:val="24"/>
              </w:rPr>
            </w:pPr>
            <w:proofErr w:type="spellStart"/>
            <w:r w:rsidRPr="00C44EE6">
              <w:rPr>
                <w:i/>
                <w:sz w:val="24"/>
              </w:rPr>
              <w:t>Погосударствам</w:t>
            </w:r>
            <w:proofErr w:type="spellEnd"/>
            <w:r w:rsidRPr="00C44EE6">
              <w:rPr>
                <w:i/>
                <w:sz w:val="24"/>
              </w:rPr>
              <w:t>-членам Евразийского экономического союза (</w:t>
            </w:r>
            <w:proofErr w:type="gramStart"/>
            <w:r w:rsidRPr="00C44EE6">
              <w:rPr>
                <w:i/>
                <w:sz w:val="24"/>
              </w:rPr>
              <w:t xml:space="preserve">ЕАЭС)  </w:t>
            </w:r>
            <w:proofErr w:type="spellStart"/>
            <w:r w:rsidRPr="00C44EE6">
              <w:rPr>
                <w:i/>
                <w:sz w:val="24"/>
              </w:rPr>
              <w:t>поступл</w:t>
            </w:r>
            <w:proofErr w:type="spellEnd"/>
            <w:r w:rsidRPr="00C44EE6">
              <w:rPr>
                <w:i/>
                <w:sz w:val="24"/>
                <w:lang w:val="ky-KG"/>
              </w:rPr>
              <w:t>ения</w:t>
            </w:r>
            <w:proofErr w:type="gramEnd"/>
            <w:r w:rsidRPr="00C44EE6">
              <w:rPr>
                <w:i/>
                <w:sz w:val="24"/>
                <w:lang w:val="ky-KG"/>
              </w:rPr>
              <w:t xml:space="preserve"> </w:t>
            </w:r>
            <w:r w:rsidRPr="00C44EE6">
              <w:rPr>
                <w:i/>
                <w:sz w:val="24"/>
              </w:rPr>
              <w:t>из Казахстана составил</w:t>
            </w:r>
            <w:r w:rsidRPr="00C44EE6">
              <w:rPr>
                <w:i/>
                <w:sz w:val="24"/>
                <w:lang w:val="ky-KG"/>
              </w:rPr>
              <w:t>и 54043,3</w:t>
            </w:r>
            <w:r w:rsidRPr="00C44EE6">
              <w:rPr>
                <w:i/>
                <w:sz w:val="24"/>
              </w:rPr>
              <w:t xml:space="preserve"> тыс. </w:t>
            </w:r>
            <w:proofErr w:type="gramStart"/>
            <w:r w:rsidRPr="00C44EE6">
              <w:rPr>
                <w:i/>
                <w:sz w:val="24"/>
              </w:rPr>
              <w:t>долларов,  из</w:t>
            </w:r>
            <w:proofErr w:type="gramEnd"/>
            <w:r w:rsidRPr="00C44EE6">
              <w:rPr>
                <w:i/>
                <w:sz w:val="24"/>
              </w:rPr>
              <w:t xml:space="preserve">  России </w:t>
            </w:r>
            <w:r w:rsidRPr="00C44EE6">
              <w:rPr>
                <w:i/>
                <w:sz w:val="24"/>
                <w:lang w:val="ky-KG"/>
              </w:rPr>
              <w:t>–</w:t>
            </w:r>
            <w:r w:rsidRPr="00C44EE6">
              <w:rPr>
                <w:i/>
                <w:sz w:val="24"/>
              </w:rPr>
              <w:t xml:space="preserve"> </w:t>
            </w:r>
            <w:r w:rsidRPr="00C44EE6">
              <w:rPr>
                <w:i/>
                <w:sz w:val="24"/>
                <w:lang w:val="ky-KG"/>
              </w:rPr>
              <w:t>26655,3</w:t>
            </w:r>
            <w:r w:rsidRPr="00C44EE6">
              <w:rPr>
                <w:i/>
                <w:sz w:val="24"/>
              </w:rPr>
              <w:t xml:space="preserve"> тыс. долларов.</w:t>
            </w:r>
          </w:p>
        </w:tc>
      </w:tr>
    </w:tbl>
    <w:p w14:paraId="18DFA0C0" w14:textId="7F86735C" w:rsidR="001A703A" w:rsidRPr="004F00FC" w:rsidRDefault="00C75D86" w:rsidP="001A703A">
      <w:pPr>
        <w:ind w:firstLine="708"/>
        <w:jc w:val="center"/>
        <w:rPr>
          <w:i/>
          <w:sz w:val="24"/>
          <w:szCs w:val="24"/>
        </w:rPr>
      </w:pPr>
      <w:r w:rsidRPr="004F00FC">
        <w:rPr>
          <w:noProof/>
        </w:rPr>
        <w:drawing>
          <wp:anchor distT="48768" distB="164592" distL="888492" distR="210693" simplePos="0" relativeHeight="251761664" behindDoc="0" locked="0" layoutInCell="1" allowOverlap="1" wp14:anchorId="524C3107" wp14:editId="7CE26BA8">
            <wp:simplePos x="0" y="0"/>
            <wp:positionH relativeFrom="column">
              <wp:posOffset>299085</wp:posOffset>
            </wp:positionH>
            <wp:positionV relativeFrom="paragraph">
              <wp:posOffset>1022985</wp:posOffset>
            </wp:positionV>
            <wp:extent cx="5718175" cy="2013585"/>
            <wp:effectExtent l="0" t="0" r="0" b="0"/>
            <wp:wrapTopAndBottom/>
            <wp:docPr id="745167777" name="Объект 35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margin">
              <wp14:pctWidth>0</wp14:pctWidth>
            </wp14:sizeRelH>
            <wp14:sizeRelV relativeFrom="margin">
              <wp14:pctHeight>0</wp14:pctHeight>
            </wp14:sizeRelV>
          </wp:anchor>
        </w:drawing>
      </w:r>
    </w:p>
    <w:tbl>
      <w:tblPr>
        <w:tblW w:w="9497" w:type="dxa"/>
        <w:tblInd w:w="250" w:type="dxa"/>
        <w:tblLook w:val="04A0" w:firstRow="1" w:lastRow="0" w:firstColumn="1" w:lastColumn="0" w:noHBand="0" w:noVBand="1"/>
      </w:tblPr>
      <w:tblGrid>
        <w:gridCol w:w="4677"/>
        <w:gridCol w:w="4820"/>
      </w:tblGrid>
      <w:tr w:rsidR="001A703A" w:rsidRPr="00C44EE6" w14:paraId="08FBD8E1" w14:textId="77777777" w:rsidTr="00132A0D">
        <w:tc>
          <w:tcPr>
            <w:tcW w:w="4677" w:type="dxa"/>
          </w:tcPr>
          <w:p w14:paraId="22FEEA2A" w14:textId="64FCAAAF" w:rsidR="001A703A" w:rsidRPr="00C44EE6" w:rsidRDefault="001A703A" w:rsidP="001A703A">
            <w:pPr>
              <w:pStyle w:val="a8"/>
              <w:spacing w:after="0"/>
              <w:ind w:left="0"/>
              <w:jc w:val="both"/>
              <w:rPr>
                <w:b/>
                <w:sz w:val="24"/>
                <w:lang w:val="ky-KG"/>
              </w:rPr>
            </w:pPr>
            <w:r w:rsidRPr="00C44EE6">
              <w:rPr>
                <w:b/>
                <w:sz w:val="24"/>
                <w:lang w:val="ky-KG"/>
              </w:rPr>
              <w:t xml:space="preserve">Жалал-Абад облусунун тышкы соода жүгүртүүсүндө экспорттук – импорттук жөнөтүүлөрдүн өзгөрүүсүнүн дина-микасы </w:t>
            </w:r>
            <w:r w:rsidRPr="00C44EE6">
              <w:rPr>
                <w:sz w:val="24"/>
                <w:lang w:val="ky-KG"/>
              </w:rPr>
              <w:t>(жалпы көлөмгө карата пайыз менен)</w:t>
            </w:r>
          </w:p>
        </w:tc>
        <w:tc>
          <w:tcPr>
            <w:tcW w:w="4820" w:type="dxa"/>
          </w:tcPr>
          <w:p w14:paraId="09BE6F07" w14:textId="6EFCAE5F" w:rsidR="001A703A" w:rsidRPr="00C44EE6" w:rsidRDefault="001A703A" w:rsidP="001A703A">
            <w:pPr>
              <w:jc w:val="both"/>
              <w:rPr>
                <w:b/>
                <w:i/>
                <w:sz w:val="24"/>
              </w:rPr>
            </w:pPr>
            <w:r w:rsidRPr="00C44EE6">
              <w:rPr>
                <w:b/>
                <w:i/>
                <w:sz w:val="24"/>
              </w:rPr>
              <w:t xml:space="preserve">Динамика изменения экспортно-импортных поставок во внешнеторговом обороте </w:t>
            </w:r>
            <w:r w:rsidRPr="00C44EE6">
              <w:rPr>
                <w:b/>
                <w:i/>
                <w:sz w:val="24"/>
                <w:lang w:val="ky-KG"/>
              </w:rPr>
              <w:t>Джалал-Абадской</w:t>
            </w:r>
            <w:r w:rsidRPr="00C44EE6">
              <w:rPr>
                <w:b/>
                <w:i/>
                <w:sz w:val="24"/>
              </w:rPr>
              <w:t xml:space="preserve"> области</w:t>
            </w:r>
          </w:p>
          <w:p w14:paraId="69B612CB" w14:textId="77777777" w:rsidR="001A703A" w:rsidRPr="00C44EE6" w:rsidRDefault="001A703A" w:rsidP="001A703A">
            <w:pPr>
              <w:pStyle w:val="a8"/>
              <w:spacing w:after="0"/>
              <w:ind w:left="0" w:firstLine="708"/>
              <w:jc w:val="both"/>
              <w:rPr>
                <w:i/>
                <w:sz w:val="24"/>
              </w:rPr>
            </w:pPr>
            <w:r w:rsidRPr="00C44EE6">
              <w:rPr>
                <w:i/>
                <w:sz w:val="24"/>
                <w:lang w:val="ky-KG"/>
              </w:rPr>
              <w:t>(в процентах к общему объему)</w:t>
            </w:r>
          </w:p>
        </w:tc>
      </w:tr>
    </w:tbl>
    <w:p w14:paraId="40BBEF21" w14:textId="60C84EDE" w:rsidR="001A703A" w:rsidRPr="00C44EE6" w:rsidRDefault="001A703A" w:rsidP="001A703A">
      <w:pPr>
        <w:jc w:val="center"/>
        <w:rPr>
          <w:sz w:val="24"/>
        </w:rPr>
      </w:pPr>
    </w:p>
    <w:p w14:paraId="04D19218" w14:textId="77777777" w:rsidR="001A703A" w:rsidRPr="00C44EE6" w:rsidRDefault="001A703A" w:rsidP="001A703A">
      <w:pPr>
        <w:jc w:val="center"/>
        <w:rPr>
          <w:sz w:val="24"/>
        </w:rPr>
      </w:pPr>
    </w:p>
    <w:tbl>
      <w:tblPr>
        <w:tblW w:w="9497" w:type="dxa"/>
        <w:tblInd w:w="250" w:type="dxa"/>
        <w:tblLook w:val="04A0" w:firstRow="1" w:lastRow="0" w:firstColumn="1" w:lastColumn="0" w:noHBand="0" w:noVBand="1"/>
      </w:tblPr>
      <w:tblGrid>
        <w:gridCol w:w="4677"/>
        <w:gridCol w:w="4820"/>
      </w:tblGrid>
      <w:tr w:rsidR="00C44EE6" w:rsidRPr="00C44EE6" w14:paraId="5A69B358" w14:textId="77777777" w:rsidTr="00132A0D">
        <w:tc>
          <w:tcPr>
            <w:tcW w:w="4677" w:type="dxa"/>
          </w:tcPr>
          <w:p w14:paraId="76DE52AB" w14:textId="30FACA78" w:rsidR="001A703A" w:rsidRPr="00C44EE6" w:rsidRDefault="00B53AF9" w:rsidP="00132A0D">
            <w:pPr>
              <w:pStyle w:val="a8"/>
              <w:spacing w:after="0"/>
              <w:ind w:left="0" w:firstLine="708"/>
              <w:jc w:val="both"/>
              <w:rPr>
                <w:sz w:val="24"/>
              </w:rPr>
            </w:pPr>
            <w:r w:rsidRPr="00C44EE6">
              <w:rPr>
                <w:sz w:val="24"/>
                <w:lang w:val="ky-KG"/>
              </w:rPr>
              <w:t xml:space="preserve">Облусттун тышкы соода жүгүртүүсүнүн өзгөрүшүнүн динамикасы көрсөткөндөй 2024–жылы тышкы сооданын сальдосу оң болуп 71,6 млн. долларды түздү </w:t>
            </w:r>
          </w:p>
        </w:tc>
        <w:tc>
          <w:tcPr>
            <w:tcW w:w="4820" w:type="dxa"/>
          </w:tcPr>
          <w:p w14:paraId="4A1673EA" w14:textId="5AD04F5C" w:rsidR="001A703A" w:rsidRPr="00C44EE6" w:rsidRDefault="00B53AF9" w:rsidP="00132A0D">
            <w:pPr>
              <w:ind w:firstLine="720"/>
              <w:jc w:val="both"/>
              <w:rPr>
                <w:i/>
                <w:sz w:val="24"/>
              </w:rPr>
            </w:pPr>
            <w:r w:rsidRPr="00C44EE6">
              <w:rPr>
                <w:i/>
                <w:sz w:val="24"/>
              </w:rPr>
              <w:t>Динамика изменения экспортно-импортных поставок во внешнеторговом обороте области показывает, что в 20</w:t>
            </w:r>
            <w:r w:rsidRPr="00C44EE6">
              <w:rPr>
                <w:i/>
                <w:sz w:val="24"/>
                <w:lang w:val="ky-KG"/>
              </w:rPr>
              <w:t>24</w:t>
            </w:r>
            <w:r w:rsidRPr="00C44EE6">
              <w:rPr>
                <w:i/>
                <w:sz w:val="24"/>
              </w:rPr>
              <w:t>году сложилось положительное сальдо внешней торговли</w:t>
            </w:r>
            <w:r w:rsidRPr="00C44EE6">
              <w:rPr>
                <w:i/>
                <w:sz w:val="24"/>
                <w:lang w:val="ky-KG"/>
              </w:rPr>
              <w:t xml:space="preserve"> на 71,6млн. долларов</w:t>
            </w:r>
            <w:r w:rsidRPr="00C44EE6">
              <w:rPr>
                <w:i/>
                <w:sz w:val="24"/>
              </w:rPr>
              <w:t>.</w:t>
            </w:r>
          </w:p>
        </w:tc>
      </w:tr>
    </w:tbl>
    <w:p w14:paraId="4624F4C8" w14:textId="77777777" w:rsidR="005455E9" w:rsidRPr="004F00FC" w:rsidRDefault="005455E9" w:rsidP="005455E9">
      <w:pPr>
        <w:ind w:firstLine="708"/>
        <w:jc w:val="both"/>
        <w:rPr>
          <w:sz w:val="24"/>
          <w:highlight w:val="yellow"/>
        </w:rPr>
      </w:pPr>
    </w:p>
    <w:tbl>
      <w:tblPr>
        <w:tblW w:w="9497" w:type="dxa"/>
        <w:tblInd w:w="250" w:type="dxa"/>
        <w:tblLook w:val="04A0" w:firstRow="1" w:lastRow="0" w:firstColumn="1" w:lastColumn="0" w:noHBand="0" w:noVBand="1"/>
      </w:tblPr>
      <w:tblGrid>
        <w:gridCol w:w="4677"/>
        <w:gridCol w:w="4820"/>
      </w:tblGrid>
      <w:tr w:rsidR="009E29AF" w:rsidRPr="00F82B0F" w14:paraId="3E5D9AB8" w14:textId="77777777" w:rsidTr="00DE0A45">
        <w:tc>
          <w:tcPr>
            <w:tcW w:w="4677" w:type="dxa"/>
          </w:tcPr>
          <w:p w14:paraId="12CF80B0" w14:textId="77777777" w:rsidR="009E29AF" w:rsidRPr="001E4900" w:rsidRDefault="009E29AF" w:rsidP="00FD56BD">
            <w:pPr>
              <w:pStyle w:val="2"/>
              <w:jc w:val="left"/>
              <w:rPr>
                <w:sz w:val="24"/>
              </w:rPr>
            </w:pPr>
            <w:proofErr w:type="spellStart"/>
            <w:r w:rsidRPr="001E4900">
              <w:t>Социалдык</w:t>
            </w:r>
            <w:proofErr w:type="spellEnd"/>
            <w:r w:rsidRPr="001E4900">
              <w:t xml:space="preserve"> сектор</w:t>
            </w:r>
          </w:p>
        </w:tc>
        <w:tc>
          <w:tcPr>
            <w:tcW w:w="4820" w:type="dxa"/>
          </w:tcPr>
          <w:p w14:paraId="3D88A639" w14:textId="77777777" w:rsidR="009E29AF" w:rsidRPr="001E4900" w:rsidRDefault="009E29AF" w:rsidP="00FD56BD">
            <w:pPr>
              <w:pStyle w:val="2"/>
              <w:jc w:val="left"/>
              <w:rPr>
                <w:i/>
                <w:sz w:val="24"/>
              </w:rPr>
            </w:pPr>
            <w:r w:rsidRPr="001E4900">
              <w:t>Социальный сектор</w:t>
            </w:r>
          </w:p>
        </w:tc>
      </w:tr>
      <w:tr w:rsidR="00446F7D" w:rsidRPr="00ED6F2F" w14:paraId="621777DA" w14:textId="77777777" w:rsidTr="00663DF7">
        <w:tc>
          <w:tcPr>
            <w:tcW w:w="4677" w:type="dxa"/>
          </w:tcPr>
          <w:p w14:paraId="28055FA9" w14:textId="4E23ED21" w:rsidR="00446F7D" w:rsidRPr="00C44EE6" w:rsidRDefault="00446F7D" w:rsidP="00446F7D">
            <w:pPr>
              <w:ind w:firstLine="601"/>
              <w:jc w:val="both"/>
              <w:rPr>
                <w:sz w:val="24"/>
                <w:szCs w:val="24"/>
                <w:lang w:val="ky-KG"/>
              </w:rPr>
            </w:pPr>
            <w:r w:rsidRPr="00C44EE6">
              <w:rPr>
                <w:sz w:val="24"/>
                <w:szCs w:val="24"/>
                <w:lang w:val="ky-KG"/>
              </w:rPr>
              <w:t>20</w:t>
            </w:r>
            <w:r w:rsidRPr="00C44EE6">
              <w:rPr>
                <w:sz w:val="24"/>
                <w:szCs w:val="24"/>
              </w:rPr>
              <w:t>25</w:t>
            </w:r>
            <w:r w:rsidRPr="00C44EE6">
              <w:rPr>
                <w:sz w:val="24"/>
                <w:szCs w:val="24"/>
                <w:lang w:val="ky-KG"/>
              </w:rPr>
              <w:t>-жылдын башына карата эсептик маалыматтар боюнча Жалал-Абад облусунун бар калкынын саны 11</w:t>
            </w:r>
            <w:r w:rsidRPr="00C44EE6">
              <w:rPr>
                <w:sz w:val="24"/>
                <w:szCs w:val="24"/>
              </w:rPr>
              <w:t>32</w:t>
            </w:r>
            <w:r w:rsidRPr="00C44EE6">
              <w:rPr>
                <w:sz w:val="24"/>
                <w:szCs w:val="24"/>
                <w:lang w:val="ky-KG"/>
              </w:rPr>
              <w:t>,</w:t>
            </w:r>
            <w:r w:rsidRPr="00C44EE6">
              <w:rPr>
                <w:sz w:val="24"/>
                <w:szCs w:val="24"/>
              </w:rPr>
              <w:t>7</w:t>
            </w:r>
            <w:r w:rsidRPr="00C44EE6">
              <w:rPr>
                <w:sz w:val="24"/>
                <w:szCs w:val="24"/>
                <w:lang w:val="ky-KG"/>
              </w:rPr>
              <w:t xml:space="preserve"> миң адамды, ал эми туруктуу калк 135</w:t>
            </w:r>
            <w:r w:rsidRPr="00C44EE6">
              <w:rPr>
                <w:sz w:val="24"/>
                <w:szCs w:val="24"/>
              </w:rPr>
              <w:t>8</w:t>
            </w:r>
            <w:r w:rsidRPr="00C44EE6">
              <w:rPr>
                <w:sz w:val="24"/>
                <w:szCs w:val="24"/>
                <w:lang w:val="ky-KG"/>
              </w:rPr>
              <w:t>,</w:t>
            </w:r>
            <w:r w:rsidRPr="00C44EE6">
              <w:rPr>
                <w:sz w:val="24"/>
                <w:szCs w:val="24"/>
              </w:rPr>
              <w:t>5</w:t>
            </w:r>
            <w:r w:rsidRPr="00C44EE6">
              <w:rPr>
                <w:sz w:val="24"/>
                <w:szCs w:val="24"/>
                <w:lang w:val="ky-KG"/>
              </w:rPr>
              <w:t xml:space="preserve"> миң адамды түздү. Алардын ичинен 67,0 пайызы айыл конуштарда ал эми шаар конуштарында 33,1 пайыз жашагандар,</w:t>
            </w:r>
          </w:p>
        </w:tc>
        <w:tc>
          <w:tcPr>
            <w:tcW w:w="4820" w:type="dxa"/>
          </w:tcPr>
          <w:p w14:paraId="71338F90" w14:textId="54FE7D73" w:rsidR="00446F7D" w:rsidRPr="00C44EE6" w:rsidRDefault="00446F7D" w:rsidP="00446F7D">
            <w:pPr>
              <w:ind w:firstLine="720"/>
              <w:jc w:val="both"/>
              <w:rPr>
                <w:sz w:val="24"/>
                <w:szCs w:val="24"/>
              </w:rPr>
            </w:pPr>
            <w:r w:rsidRPr="00C44EE6">
              <w:rPr>
                <w:sz w:val="24"/>
                <w:szCs w:val="24"/>
              </w:rPr>
              <w:t xml:space="preserve">Численность наличного населения </w:t>
            </w:r>
            <w:r w:rsidRPr="00C44EE6">
              <w:rPr>
                <w:sz w:val="24"/>
                <w:szCs w:val="24"/>
                <w:lang w:val="ky-KG"/>
              </w:rPr>
              <w:t>Джалал-Аба</w:t>
            </w:r>
            <w:proofErr w:type="spellStart"/>
            <w:r w:rsidRPr="00C44EE6">
              <w:rPr>
                <w:sz w:val="24"/>
                <w:szCs w:val="24"/>
              </w:rPr>
              <w:t>ской</w:t>
            </w:r>
            <w:proofErr w:type="spellEnd"/>
            <w:r w:rsidRPr="00C44EE6">
              <w:rPr>
                <w:sz w:val="24"/>
                <w:szCs w:val="24"/>
              </w:rPr>
              <w:t xml:space="preserve"> области на начало 20</w:t>
            </w:r>
            <w:r w:rsidRPr="00C44EE6">
              <w:rPr>
                <w:sz w:val="24"/>
                <w:szCs w:val="24"/>
                <w:lang w:val="ky-KG"/>
              </w:rPr>
              <w:t>2</w:t>
            </w:r>
            <w:r w:rsidRPr="00C44EE6">
              <w:rPr>
                <w:sz w:val="24"/>
                <w:szCs w:val="24"/>
              </w:rPr>
              <w:t xml:space="preserve">5 года составила </w:t>
            </w:r>
            <w:r w:rsidRPr="00C44EE6">
              <w:rPr>
                <w:sz w:val="24"/>
                <w:szCs w:val="24"/>
                <w:lang w:val="ky-KG"/>
              </w:rPr>
              <w:t>11</w:t>
            </w:r>
            <w:r w:rsidRPr="00C44EE6">
              <w:rPr>
                <w:sz w:val="24"/>
                <w:szCs w:val="24"/>
              </w:rPr>
              <w:t xml:space="preserve">32,7 тыс. человек, постоянного населения- </w:t>
            </w:r>
            <w:r w:rsidRPr="00C44EE6">
              <w:rPr>
                <w:sz w:val="24"/>
                <w:szCs w:val="24"/>
                <w:lang w:val="ky-KG"/>
              </w:rPr>
              <w:t>135</w:t>
            </w:r>
            <w:r w:rsidRPr="00C44EE6">
              <w:rPr>
                <w:sz w:val="24"/>
                <w:szCs w:val="24"/>
              </w:rPr>
              <w:t>8,5 тыс. человек. Из них 6</w:t>
            </w:r>
            <w:r w:rsidRPr="00C44EE6">
              <w:rPr>
                <w:sz w:val="24"/>
                <w:szCs w:val="24"/>
                <w:lang w:val="ky-KG"/>
              </w:rPr>
              <w:t>7</w:t>
            </w:r>
            <w:r w:rsidRPr="00C44EE6">
              <w:rPr>
                <w:sz w:val="24"/>
                <w:szCs w:val="24"/>
              </w:rPr>
              <w:t xml:space="preserve">,0 процентов проживало в селах, а 33,1 процента в городских поселениях. </w:t>
            </w:r>
          </w:p>
        </w:tc>
      </w:tr>
      <w:tr w:rsidR="00446F7D" w:rsidRPr="00ED6F2F" w14:paraId="2F8D5A95" w14:textId="77777777" w:rsidTr="00663DF7">
        <w:tc>
          <w:tcPr>
            <w:tcW w:w="4677" w:type="dxa"/>
          </w:tcPr>
          <w:p w14:paraId="395DDFCE" w14:textId="77777777" w:rsidR="00446F7D" w:rsidRPr="00C44EE6" w:rsidRDefault="00446F7D" w:rsidP="00446F7D">
            <w:pPr>
              <w:ind w:firstLine="34"/>
              <w:jc w:val="center"/>
              <w:rPr>
                <w:sz w:val="24"/>
              </w:rPr>
            </w:pPr>
          </w:p>
        </w:tc>
        <w:tc>
          <w:tcPr>
            <w:tcW w:w="4820" w:type="dxa"/>
          </w:tcPr>
          <w:p w14:paraId="615FB41B" w14:textId="77777777" w:rsidR="00446F7D" w:rsidRPr="00C44EE6" w:rsidRDefault="00446F7D" w:rsidP="00446F7D">
            <w:pPr>
              <w:jc w:val="center"/>
              <w:rPr>
                <w:sz w:val="24"/>
              </w:rPr>
            </w:pPr>
          </w:p>
        </w:tc>
      </w:tr>
      <w:tr w:rsidR="00446F7D" w:rsidRPr="00ED6F2F" w14:paraId="0AAA29AC" w14:textId="77777777" w:rsidTr="00663DF7">
        <w:tc>
          <w:tcPr>
            <w:tcW w:w="4677" w:type="dxa"/>
          </w:tcPr>
          <w:p w14:paraId="5CD8D9BF" w14:textId="47A5CE2E" w:rsidR="00446F7D" w:rsidRPr="00C44EE6" w:rsidRDefault="00446F7D" w:rsidP="00446F7D">
            <w:pPr>
              <w:ind w:firstLine="567"/>
              <w:jc w:val="both"/>
              <w:rPr>
                <w:sz w:val="24"/>
                <w:szCs w:val="24"/>
                <w:lang w:val="ky-KG"/>
              </w:rPr>
            </w:pPr>
            <w:r w:rsidRPr="00C44EE6">
              <w:rPr>
                <w:sz w:val="24"/>
                <w:szCs w:val="24"/>
                <w:lang w:val="ky-KG"/>
              </w:rPr>
              <w:t>Төрөлүүнүн жана өлүмдүн деңгээли, ошондой эле миграция, калктын жыныстык-курактык</w:t>
            </w:r>
            <w:r w:rsidRPr="00C44EE6">
              <w:rPr>
                <w:sz w:val="24"/>
                <w:szCs w:val="24"/>
              </w:rPr>
              <w:t xml:space="preserve"> </w:t>
            </w:r>
            <w:r w:rsidRPr="00C44EE6">
              <w:rPr>
                <w:sz w:val="24"/>
                <w:szCs w:val="24"/>
                <w:lang w:val="ky-KG"/>
              </w:rPr>
              <w:t>курамынын түзүлүш</w:t>
            </w:r>
            <w:r w:rsidRPr="00C44EE6">
              <w:rPr>
                <w:sz w:val="24"/>
                <w:szCs w:val="24"/>
              </w:rPr>
              <w:t>-</w:t>
            </w:r>
            <w:r w:rsidRPr="00C44EE6">
              <w:rPr>
                <w:sz w:val="24"/>
                <w:szCs w:val="24"/>
                <w:lang w:val="ky-KG"/>
              </w:rPr>
              <w:t>үнө таасир берет. Жалал-Абад облусунун калкы демографиялык жактан жаш болуп эсептелет: 2025-жылдын башталышына карата жалпы калктын санынын 38,4 пайызын балдар жана өспүрүмдөр, 53,1 пайызын эмгекке жарамдуу курактагылар жана 8,4 пайызын эмгекке жарамдуу курак улуу адамдар түздү.</w:t>
            </w:r>
          </w:p>
        </w:tc>
        <w:tc>
          <w:tcPr>
            <w:tcW w:w="4820" w:type="dxa"/>
          </w:tcPr>
          <w:p w14:paraId="06266981" w14:textId="4DADE08B" w:rsidR="00446F7D" w:rsidRPr="00C44EE6" w:rsidRDefault="00446F7D" w:rsidP="00446F7D">
            <w:pPr>
              <w:ind w:firstLine="720"/>
              <w:jc w:val="both"/>
              <w:rPr>
                <w:sz w:val="24"/>
                <w:szCs w:val="24"/>
              </w:rPr>
            </w:pPr>
            <w:r w:rsidRPr="00C44EE6">
              <w:rPr>
                <w:sz w:val="24"/>
                <w:szCs w:val="24"/>
              </w:rPr>
              <w:t xml:space="preserve">Уровень рождаемости, смертности, а также миграция влияют на формирование половозрастной структуры населения. Население </w:t>
            </w:r>
            <w:r w:rsidRPr="00C44EE6">
              <w:rPr>
                <w:sz w:val="24"/>
                <w:szCs w:val="24"/>
                <w:lang w:val="ky-KG"/>
              </w:rPr>
              <w:t>Джалал-Абад</w:t>
            </w:r>
            <w:proofErr w:type="spellStart"/>
            <w:r w:rsidRPr="00C44EE6">
              <w:rPr>
                <w:sz w:val="24"/>
                <w:szCs w:val="24"/>
              </w:rPr>
              <w:t>ской</w:t>
            </w:r>
            <w:proofErr w:type="spellEnd"/>
            <w:r w:rsidRPr="00C44EE6">
              <w:rPr>
                <w:sz w:val="24"/>
                <w:szCs w:val="24"/>
              </w:rPr>
              <w:t xml:space="preserve"> области в демографическом отношении молодое</w:t>
            </w:r>
            <w:proofErr w:type="gramStart"/>
            <w:r w:rsidRPr="00C44EE6">
              <w:rPr>
                <w:sz w:val="24"/>
                <w:szCs w:val="24"/>
              </w:rPr>
              <w:t>: На</w:t>
            </w:r>
            <w:proofErr w:type="gramEnd"/>
            <w:r w:rsidRPr="00C44EE6">
              <w:rPr>
                <w:sz w:val="24"/>
                <w:szCs w:val="24"/>
              </w:rPr>
              <w:t xml:space="preserve"> начало 20</w:t>
            </w:r>
            <w:r w:rsidRPr="00C44EE6">
              <w:rPr>
                <w:sz w:val="24"/>
                <w:szCs w:val="24"/>
                <w:lang w:val="ky-KG"/>
              </w:rPr>
              <w:t>2</w:t>
            </w:r>
            <w:r w:rsidRPr="00C44EE6">
              <w:rPr>
                <w:sz w:val="24"/>
                <w:szCs w:val="24"/>
              </w:rPr>
              <w:t xml:space="preserve">5г. 38,4 процента от общей численности населения составили дети и подростки, 53,1 процента - лица </w:t>
            </w:r>
            <w:proofErr w:type="spellStart"/>
            <w:r w:rsidRPr="00C44EE6">
              <w:rPr>
                <w:sz w:val="24"/>
                <w:szCs w:val="24"/>
              </w:rPr>
              <w:t>трудосп</w:t>
            </w:r>
            <w:proofErr w:type="spellEnd"/>
            <w:r w:rsidRPr="00C44EE6">
              <w:rPr>
                <w:sz w:val="24"/>
                <w:szCs w:val="24"/>
                <w:lang w:val="ky-KG"/>
              </w:rPr>
              <w:t>о</w:t>
            </w:r>
            <w:proofErr w:type="spellStart"/>
            <w:r w:rsidRPr="00C44EE6">
              <w:rPr>
                <w:sz w:val="24"/>
                <w:szCs w:val="24"/>
              </w:rPr>
              <w:t>собго</w:t>
            </w:r>
            <w:proofErr w:type="spellEnd"/>
            <w:r w:rsidRPr="00C44EE6">
              <w:rPr>
                <w:sz w:val="24"/>
                <w:szCs w:val="24"/>
              </w:rPr>
              <w:t xml:space="preserve"> возраста и 8,4 процента - старше трудоспособного возраста.</w:t>
            </w:r>
          </w:p>
        </w:tc>
      </w:tr>
      <w:tr w:rsidR="00446F7D" w:rsidRPr="00ED6F2F" w14:paraId="5005BC5D" w14:textId="77777777" w:rsidTr="00663DF7">
        <w:tc>
          <w:tcPr>
            <w:tcW w:w="4677" w:type="dxa"/>
          </w:tcPr>
          <w:p w14:paraId="3D0D5A9D" w14:textId="3B22DE44" w:rsidR="00446F7D" w:rsidRPr="00C44EE6" w:rsidRDefault="00446F7D" w:rsidP="00446F7D">
            <w:pPr>
              <w:ind w:firstLine="601"/>
              <w:jc w:val="both"/>
              <w:rPr>
                <w:sz w:val="24"/>
                <w:szCs w:val="24"/>
                <w:highlight w:val="cyan"/>
                <w:lang w:val="ky-KG"/>
              </w:rPr>
            </w:pPr>
            <w:r w:rsidRPr="00C44EE6">
              <w:rPr>
                <w:sz w:val="24"/>
                <w:szCs w:val="24"/>
                <w:lang w:val="ky-KG"/>
              </w:rPr>
              <w:t>Жалал-Абад облусунун аймагында 24 ден ашык этностордун өкүлдөрү жашайт. Акыркы жылдары миграциялык процесстердин натыйжасында калктын улуттук курамы өзгөргөн. Коом этникалык жактан бир түрдүү. 2025-жылдын башталышына кыргыздар- 999,6 миң адам жалпы калктын санынын (73,6 пайызын),  өзбектер-336,1 миң адамга жалпы калктын санынын (33,6 пайызын), орустар 4,8 миң адамга жалпы калктын санынын (0,4 пайызын) түзөт.</w:t>
            </w:r>
          </w:p>
        </w:tc>
        <w:tc>
          <w:tcPr>
            <w:tcW w:w="4820" w:type="dxa"/>
          </w:tcPr>
          <w:p w14:paraId="228C171B" w14:textId="77777777" w:rsidR="00446F7D" w:rsidRPr="00C44EE6" w:rsidRDefault="00446F7D" w:rsidP="00446F7D">
            <w:pPr>
              <w:ind w:firstLine="720"/>
              <w:jc w:val="both"/>
              <w:rPr>
                <w:sz w:val="24"/>
                <w:szCs w:val="24"/>
              </w:rPr>
            </w:pPr>
            <w:r w:rsidRPr="00C44EE6">
              <w:rPr>
                <w:sz w:val="24"/>
                <w:szCs w:val="24"/>
              </w:rPr>
              <w:t xml:space="preserve">На территории </w:t>
            </w:r>
            <w:r w:rsidRPr="00C44EE6">
              <w:rPr>
                <w:sz w:val="24"/>
                <w:szCs w:val="24"/>
                <w:lang w:val="ky-KG"/>
              </w:rPr>
              <w:t>Джалал-Абад</w:t>
            </w:r>
            <w:proofErr w:type="spellStart"/>
            <w:r w:rsidRPr="00C44EE6">
              <w:rPr>
                <w:sz w:val="24"/>
                <w:szCs w:val="24"/>
              </w:rPr>
              <w:t>ской</w:t>
            </w:r>
            <w:proofErr w:type="spellEnd"/>
            <w:r w:rsidRPr="00C44EE6">
              <w:rPr>
                <w:sz w:val="24"/>
                <w:szCs w:val="24"/>
              </w:rPr>
              <w:t xml:space="preserve"> области проживает более 2</w:t>
            </w:r>
            <w:r w:rsidRPr="00C44EE6">
              <w:rPr>
                <w:sz w:val="24"/>
                <w:szCs w:val="24"/>
                <w:lang w:val="ky-KG"/>
              </w:rPr>
              <w:t>4</w:t>
            </w:r>
            <w:r w:rsidRPr="00C44EE6">
              <w:rPr>
                <w:sz w:val="24"/>
                <w:szCs w:val="24"/>
              </w:rPr>
              <w:t xml:space="preserve"> этнических групп. В результате миграционных процессов за последние годы произошли изменения в национальном составе: наиболее многочисленные из них (по оценочным данным на начало 2025г.) кыргызы – 999,6 тыс. человек (73,6 процента общей численности населения), узбеки – 336,1 тыс. человек (33,6 процента) и русские – 4,8 тыс. человек (0,4 процента).</w:t>
            </w:r>
          </w:p>
          <w:p w14:paraId="445A1C8A" w14:textId="7D41109D" w:rsidR="00446F7D" w:rsidRPr="00C44EE6" w:rsidRDefault="00446F7D" w:rsidP="00446F7D">
            <w:pPr>
              <w:ind w:firstLine="720"/>
              <w:jc w:val="both"/>
              <w:rPr>
                <w:sz w:val="24"/>
                <w:szCs w:val="24"/>
              </w:rPr>
            </w:pPr>
          </w:p>
        </w:tc>
      </w:tr>
      <w:tr w:rsidR="00446F7D" w:rsidRPr="00ED6F2F" w14:paraId="4E825E2C" w14:textId="77777777" w:rsidTr="00663DF7">
        <w:tc>
          <w:tcPr>
            <w:tcW w:w="4677" w:type="dxa"/>
          </w:tcPr>
          <w:p w14:paraId="07181AA6" w14:textId="1EE2A13B" w:rsidR="00446F7D" w:rsidRPr="00C44EE6" w:rsidRDefault="00446F7D" w:rsidP="00446F7D">
            <w:pPr>
              <w:ind w:firstLine="601"/>
              <w:jc w:val="both"/>
              <w:rPr>
                <w:sz w:val="24"/>
                <w:szCs w:val="24"/>
                <w:lang w:val="ky-KG"/>
              </w:rPr>
            </w:pPr>
            <w:r w:rsidRPr="00C44EE6">
              <w:rPr>
                <w:sz w:val="24"/>
                <w:szCs w:val="24"/>
                <w:lang w:val="ky-KG"/>
              </w:rPr>
              <w:t>Калктын табигый өсүүсүнүн көрсөткүчү 202</w:t>
            </w:r>
            <w:r w:rsidRPr="00C44EE6">
              <w:rPr>
                <w:sz w:val="24"/>
                <w:szCs w:val="24"/>
              </w:rPr>
              <w:t>4</w:t>
            </w:r>
            <w:r w:rsidRPr="00C44EE6">
              <w:rPr>
                <w:sz w:val="24"/>
                <w:szCs w:val="24"/>
                <w:lang w:val="ky-KG"/>
              </w:rPr>
              <w:t xml:space="preserve">-жылы төмөнкү маалыматтар менен мүнөздөлдү: тирүү төрөлгөндөрдүн саны – </w:t>
            </w:r>
            <w:r w:rsidRPr="00C44EE6">
              <w:rPr>
                <w:sz w:val="24"/>
                <w:szCs w:val="24"/>
              </w:rPr>
              <w:t>29669</w:t>
            </w:r>
            <w:r w:rsidRPr="00C44EE6">
              <w:rPr>
                <w:sz w:val="24"/>
                <w:szCs w:val="24"/>
                <w:lang w:val="ky-KG"/>
              </w:rPr>
              <w:t>, өлгөндөр – 5</w:t>
            </w:r>
            <w:r w:rsidRPr="00C44EE6">
              <w:rPr>
                <w:sz w:val="24"/>
                <w:szCs w:val="24"/>
              </w:rPr>
              <w:t>582</w:t>
            </w:r>
            <w:r w:rsidRPr="00C44EE6">
              <w:rPr>
                <w:sz w:val="24"/>
                <w:szCs w:val="24"/>
                <w:lang w:val="ky-KG"/>
              </w:rPr>
              <w:t>, калктын табигый өсүүсү 240</w:t>
            </w:r>
            <w:r w:rsidRPr="00C44EE6">
              <w:rPr>
                <w:sz w:val="24"/>
                <w:szCs w:val="24"/>
              </w:rPr>
              <w:t>87</w:t>
            </w:r>
            <w:r w:rsidRPr="00C44EE6">
              <w:rPr>
                <w:sz w:val="24"/>
                <w:szCs w:val="24"/>
                <w:lang w:val="ky-KG"/>
              </w:rPr>
              <w:t xml:space="preserve"> адамды түздү.</w:t>
            </w:r>
          </w:p>
        </w:tc>
        <w:tc>
          <w:tcPr>
            <w:tcW w:w="4820" w:type="dxa"/>
          </w:tcPr>
          <w:p w14:paraId="42C30422" w14:textId="0E30FB3E" w:rsidR="00446F7D" w:rsidRPr="00C44EE6" w:rsidRDefault="00446F7D" w:rsidP="00446F7D">
            <w:pPr>
              <w:ind w:firstLine="720"/>
              <w:jc w:val="both"/>
              <w:rPr>
                <w:sz w:val="24"/>
                <w:szCs w:val="24"/>
              </w:rPr>
            </w:pPr>
            <w:r w:rsidRPr="00C44EE6">
              <w:rPr>
                <w:sz w:val="24"/>
                <w:szCs w:val="24"/>
              </w:rPr>
              <w:t>Показатели естественного прироста населения за 20</w:t>
            </w:r>
            <w:r w:rsidRPr="00C44EE6">
              <w:rPr>
                <w:sz w:val="24"/>
                <w:szCs w:val="24"/>
                <w:lang w:val="ky-KG"/>
              </w:rPr>
              <w:t>2</w:t>
            </w:r>
            <w:r w:rsidRPr="00C44EE6">
              <w:rPr>
                <w:sz w:val="24"/>
                <w:szCs w:val="24"/>
              </w:rPr>
              <w:t xml:space="preserve">4 год характеризуется следующими данными: число родившихся живыми 29669, умерших </w:t>
            </w:r>
            <w:r w:rsidRPr="00C44EE6">
              <w:rPr>
                <w:sz w:val="24"/>
                <w:szCs w:val="24"/>
                <w:lang w:val="ky-KG"/>
              </w:rPr>
              <w:t>5</w:t>
            </w:r>
            <w:r w:rsidRPr="00C44EE6">
              <w:rPr>
                <w:sz w:val="24"/>
                <w:szCs w:val="24"/>
              </w:rPr>
              <w:t xml:space="preserve">582, естественный прирост населения составил </w:t>
            </w:r>
            <w:r w:rsidRPr="00C44EE6">
              <w:rPr>
                <w:sz w:val="24"/>
                <w:szCs w:val="24"/>
                <w:lang w:val="ky-KG"/>
              </w:rPr>
              <w:t>240</w:t>
            </w:r>
            <w:r w:rsidRPr="00C44EE6">
              <w:rPr>
                <w:sz w:val="24"/>
                <w:szCs w:val="24"/>
              </w:rPr>
              <w:t>87 человек.</w:t>
            </w:r>
          </w:p>
        </w:tc>
      </w:tr>
      <w:tr w:rsidR="00446F7D" w:rsidRPr="00ED6F2F" w14:paraId="640CFD02" w14:textId="77777777" w:rsidTr="00663DF7">
        <w:tc>
          <w:tcPr>
            <w:tcW w:w="4677" w:type="dxa"/>
          </w:tcPr>
          <w:p w14:paraId="7A63A54F" w14:textId="583A5A0D" w:rsidR="00446F7D" w:rsidRPr="00C44EE6" w:rsidRDefault="00446F7D" w:rsidP="00446F7D">
            <w:pPr>
              <w:ind w:firstLine="601"/>
              <w:jc w:val="both"/>
              <w:rPr>
                <w:sz w:val="24"/>
                <w:szCs w:val="24"/>
                <w:lang w:val="ky-KG"/>
              </w:rPr>
            </w:pPr>
            <w:r w:rsidRPr="00C44EE6">
              <w:rPr>
                <w:sz w:val="24"/>
                <w:szCs w:val="24"/>
                <w:lang w:val="ky-KG"/>
              </w:rPr>
              <w:t>202</w:t>
            </w:r>
            <w:r w:rsidRPr="00C44EE6">
              <w:rPr>
                <w:sz w:val="24"/>
                <w:szCs w:val="24"/>
              </w:rPr>
              <w:t>4</w:t>
            </w:r>
            <w:r w:rsidRPr="00C44EE6">
              <w:rPr>
                <w:sz w:val="24"/>
                <w:szCs w:val="24"/>
                <w:lang w:val="ky-KG"/>
              </w:rPr>
              <w:t>-жылы төрөлүү коэфициенти 1000 адамга, алганда 2</w:t>
            </w:r>
            <w:r w:rsidRPr="00C44EE6">
              <w:rPr>
                <w:sz w:val="24"/>
                <w:szCs w:val="24"/>
              </w:rPr>
              <w:t>2</w:t>
            </w:r>
            <w:r w:rsidRPr="00C44EE6">
              <w:rPr>
                <w:sz w:val="24"/>
                <w:szCs w:val="24"/>
                <w:lang w:val="ky-KG"/>
              </w:rPr>
              <w:t>,</w:t>
            </w:r>
            <w:r w:rsidRPr="00C44EE6">
              <w:rPr>
                <w:sz w:val="24"/>
                <w:szCs w:val="24"/>
              </w:rPr>
              <w:t>0</w:t>
            </w:r>
            <w:r w:rsidRPr="00C44EE6">
              <w:rPr>
                <w:sz w:val="24"/>
                <w:szCs w:val="24"/>
                <w:lang w:val="ky-KG"/>
              </w:rPr>
              <w:t xml:space="preserve"> пайызды түзүп, 202</w:t>
            </w:r>
            <w:r w:rsidRPr="00C44EE6">
              <w:rPr>
                <w:sz w:val="24"/>
                <w:szCs w:val="24"/>
              </w:rPr>
              <w:t>3</w:t>
            </w:r>
            <w:r w:rsidRPr="00C44EE6">
              <w:rPr>
                <w:sz w:val="24"/>
                <w:szCs w:val="24"/>
                <w:lang w:val="ky-KG"/>
              </w:rPr>
              <w:t>-жылга салыштырмалуу азайган   (2023ж-23,3)</w:t>
            </w:r>
          </w:p>
        </w:tc>
        <w:tc>
          <w:tcPr>
            <w:tcW w:w="4820" w:type="dxa"/>
          </w:tcPr>
          <w:p w14:paraId="5BC9B40B" w14:textId="494881C0" w:rsidR="00446F7D" w:rsidRPr="00C44EE6" w:rsidRDefault="00446F7D" w:rsidP="00446F7D">
            <w:pPr>
              <w:ind w:firstLine="720"/>
              <w:jc w:val="both"/>
              <w:rPr>
                <w:sz w:val="24"/>
                <w:szCs w:val="24"/>
              </w:rPr>
            </w:pPr>
            <w:r w:rsidRPr="00C44EE6">
              <w:rPr>
                <w:sz w:val="24"/>
                <w:szCs w:val="24"/>
              </w:rPr>
              <w:t>В 20</w:t>
            </w:r>
            <w:r w:rsidRPr="00C44EE6">
              <w:rPr>
                <w:sz w:val="24"/>
                <w:szCs w:val="24"/>
                <w:lang w:val="ky-KG"/>
              </w:rPr>
              <w:t>24</w:t>
            </w:r>
            <w:r w:rsidRPr="00C44EE6">
              <w:rPr>
                <w:sz w:val="24"/>
                <w:szCs w:val="24"/>
              </w:rPr>
              <w:t xml:space="preserve"> году коэффициент рождаемости составил 2</w:t>
            </w:r>
            <w:r w:rsidRPr="00C44EE6">
              <w:rPr>
                <w:sz w:val="24"/>
                <w:szCs w:val="24"/>
                <w:lang w:val="ky-KG"/>
              </w:rPr>
              <w:t>2</w:t>
            </w:r>
            <w:r w:rsidRPr="00C44EE6">
              <w:rPr>
                <w:sz w:val="24"/>
                <w:szCs w:val="24"/>
              </w:rPr>
              <w:t>,</w:t>
            </w:r>
            <w:r w:rsidRPr="00C44EE6">
              <w:rPr>
                <w:sz w:val="24"/>
                <w:szCs w:val="24"/>
                <w:lang w:val="ky-KG"/>
              </w:rPr>
              <w:t>0</w:t>
            </w:r>
            <w:r w:rsidRPr="00C44EE6">
              <w:rPr>
                <w:sz w:val="24"/>
                <w:szCs w:val="24"/>
              </w:rPr>
              <w:t xml:space="preserve"> родившихся на 1000 населения, что </w:t>
            </w:r>
            <w:r w:rsidRPr="00C44EE6">
              <w:rPr>
                <w:sz w:val="24"/>
                <w:szCs w:val="24"/>
                <w:lang w:val="ky-KG"/>
              </w:rPr>
              <w:t>мень</w:t>
            </w:r>
            <w:proofErr w:type="spellStart"/>
            <w:r w:rsidRPr="00C44EE6">
              <w:rPr>
                <w:sz w:val="24"/>
                <w:szCs w:val="24"/>
              </w:rPr>
              <w:t>ше</w:t>
            </w:r>
            <w:proofErr w:type="spellEnd"/>
            <w:r w:rsidRPr="00C44EE6">
              <w:rPr>
                <w:sz w:val="24"/>
                <w:szCs w:val="24"/>
              </w:rPr>
              <w:t>, чем в 202</w:t>
            </w:r>
            <w:r w:rsidRPr="00C44EE6">
              <w:rPr>
                <w:sz w:val="24"/>
                <w:szCs w:val="24"/>
                <w:lang w:val="ky-KG"/>
              </w:rPr>
              <w:t>3</w:t>
            </w:r>
            <w:proofErr w:type="gramStart"/>
            <w:r w:rsidRPr="00C44EE6">
              <w:rPr>
                <w:sz w:val="24"/>
                <w:szCs w:val="24"/>
              </w:rPr>
              <w:t>г.(</w:t>
            </w:r>
            <w:proofErr w:type="gramEnd"/>
            <w:r w:rsidRPr="00C44EE6">
              <w:rPr>
                <w:sz w:val="24"/>
                <w:szCs w:val="24"/>
              </w:rPr>
              <w:t>2</w:t>
            </w:r>
            <w:r w:rsidRPr="00C44EE6">
              <w:rPr>
                <w:sz w:val="24"/>
                <w:szCs w:val="24"/>
                <w:lang w:val="ky-KG"/>
              </w:rPr>
              <w:t>3</w:t>
            </w:r>
            <w:r w:rsidRPr="00C44EE6">
              <w:rPr>
                <w:sz w:val="24"/>
                <w:szCs w:val="24"/>
              </w:rPr>
              <w:t>,</w:t>
            </w:r>
            <w:r w:rsidRPr="00C44EE6">
              <w:rPr>
                <w:sz w:val="24"/>
                <w:szCs w:val="24"/>
                <w:lang w:val="ky-KG"/>
              </w:rPr>
              <w:t>3</w:t>
            </w:r>
            <w:r w:rsidRPr="00C44EE6">
              <w:rPr>
                <w:sz w:val="24"/>
                <w:szCs w:val="24"/>
              </w:rPr>
              <w:t>)</w:t>
            </w:r>
          </w:p>
        </w:tc>
      </w:tr>
      <w:tr w:rsidR="00446F7D" w:rsidRPr="00F30E98" w14:paraId="689C8969" w14:textId="77777777" w:rsidTr="00663DF7">
        <w:tc>
          <w:tcPr>
            <w:tcW w:w="4677" w:type="dxa"/>
          </w:tcPr>
          <w:p w14:paraId="01304302" w14:textId="0179398B" w:rsidR="00446F7D" w:rsidRPr="00C44EE6" w:rsidRDefault="00446F7D" w:rsidP="00446F7D">
            <w:pPr>
              <w:ind w:firstLine="601"/>
              <w:jc w:val="both"/>
              <w:rPr>
                <w:sz w:val="24"/>
                <w:szCs w:val="24"/>
                <w:lang w:val="ky-KG"/>
              </w:rPr>
            </w:pPr>
          </w:p>
        </w:tc>
        <w:tc>
          <w:tcPr>
            <w:tcW w:w="4820" w:type="dxa"/>
          </w:tcPr>
          <w:p w14:paraId="33874CDD" w14:textId="208738CB" w:rsidR="00446F7D" w:rsidRPr="00C44EE6" w:rsidRDefault="00446F7D" w:rsidP="00446F7D">
            <w:pPr>
              <w:ind w:firstLine="720"/>
              <w:jc w:val="both"/>
              <w:rPr>
                <w:sz w:val="24"/>
                <w:szCs w:val="24"/>
                <w:lang w:val="ky-KG"/>
              </w:rPr>
            </w:pPr>
          </w:p>
        </w:tc>
      </w:tr>
      <w:tr w:rsidR="00446F7D" w:rsidRPr="00332706" w14:paraId="741A4ADC" w14:textId="77777777" w:rsidTr="00663DF7">
        <w:tc>
          <w:tcPr>
            <w:tcW w:w="4677" w:type="dxa"/>
          </w:tcPr>
          <w:p w14:paraId="47239019" w14:textId="22A14956" w:rsidR="00446F7D" w:rsidRPr="00C44EE6" w:rsidRDefault="00446F7D" w:rsidP="00446F7D">
            <w:pPr>
              <w:ind w:firstLine="601"/>
              <w:jc w:val="both"/>
              <w:rPr>
                <w:sz w:val="24"/>
                <w:szCs w:val="24"/>
                <w:lang w:val="ky-KG"/>
              </w:rPr>
            </w:pPr>
          </w:p>
        </w:tc>
        <w:tc>
          <w:tcPr>
            <w:tcW w:w="4820" w:type="dxa"/>
          </w:tcPr>
          <w:p w14:paraId="3A5BF031" w14:textId="7E9A8CD6" w:rsidR="00446F7D" w:rsidRPr="00C44EE6" w:rsidRDefault="00446F7D" w:rsidP="00446F7D">
            <w:pPr>
              <w:ind w:firstLine="720"/>
              <w:jc w:val="both"/>
              <w:rPr>
                <w:sz w:val="24"/>
                <w:szCs w:val="24"/>
                <w:lang w:val="ky-KG"/>
              </w:rPr>
            </w:pPr>
          </w:p>
        </w:tc>
      </w:tr>
      <w:tr w:rsidR="0036162E" w:rsidRPr="00332706" w14:paraId="7A79CE83" w14:textId="77777777" w:rsidTr="00663DF7">
        <w:tc>
          <w:tcPr>
            <w:tcW w:w="4677" w:type="dxa"/>
          </w:tcPr>
          <w:p w14:paraId="2A2BAE98" w14:textId="19D56045" w:rsidR="0036162E" w:rsidRPr="00C44EE6" w:rsidRDefault="0036162E" w:rsidP="0036162E">
            <w:pPr>
              <w:ind w:firstLine="601"/>
              <w:jc w:val="both"/>
              <w:rPr>
                <w:sz w:val="24"/>
                <w:szCs w:val="24"/>
                <w:lang w:val="ky-KG"/>
              </w:rPr>
            </w:pPr>
            <w:r w:rsidRPr="00C44EE6">
              <w:rPr>
                <w:sz w:val="24"/>
                <w:szCs w:val="24"/>
                <w:lang w:val="ky-KG"/>
              </w:rPr>
              <w:t xml:space="preserve">2024-жылы 5582 адамдын өлүмү катталган.Бул 2023-жылга салыштырмалуу 146 адамга көп, же 2,7 пайызга өстү. (2023-жылы 5436 адам өлүмү катталган). 2024-жылда жалпы өлгөндөрдүн көрсөткүчү 1000 адамга, өлгөндөр көбөйүп 4,1 адамды түздү (2023-ж. – 4,1). Адам өлүмүнүн деңгээли  Базар-Коргон, Ноокен, Тогуз-Торо, Чаткал райондорунда жана өлгөндөр Жалал-абад, Кара-Көл шаарларында жогору болуп эсептелет.  </w:t>
            </w:r>
          </w:p>
        </w:tc>
        <w:tc>
          <w:tcPr>
            <w:tcW w:w="4820" w:type="dxa"/>
          </w:tcPr>
          <w:p w14:paraId="28F3BC11" w14:textId="77777777" w:rsidR="0036162E" w:rsidRPr="00C44EE6" w:rsidRDefault="0036162E" w:rsidP="0036162E">
            <w:pPr>
              <w:ind w:firstLine="602"/>
              <w:jc w:val="both"/>
              <w:rPr>
                <w:sz w:val="24"/>
                <w:szCs w:val="24"/>
              </w:rPr>
            </w:pPr>
            <w:r w:rsidRPr="00C44EE6">
              <w:rPr>
                <w:sz w:val="24"/>
                <w:szCs w:val="24"/>
                <w:lang w:val="ky-KG"/>
              </w:rPr>
              <w:t xml:space="preserve"> </w:t>
            </w:r>
            <w:r w:rsidRPr="00C44EE6">
              <w:rPr>
                <w:sz w:val="24"/>
                <w:szCs w:val="24"/>
              </w:rPr>
              <w:t>В 2024г. было зарегистрировано 5582 умерших, что на 146 человека, или на 2,7 процентов больше, чем в 2023г. (5436 умерших). Показатель общей смертности населения в 2024г., соответственно, увеличилось и составил 4,1 умерших на 1000 населения (2023г. – 4,1).</w:t>
            </w:r>
          </w:p>
          <w:p w14:paraId="6AF9568A" w14:textId="2982A461" w:rsidR="0036162E" w:rsidRPr="00C44EE6" w:rsidRDefault="0036162E" w:rsidP="0036162E">
            <w:pPr>
              <w:ind w:firstLine="720"/>
              <w:jc w:val="both"/>
              <w:rPr>
                <w:sz w:val="24"/>
                <w:szCs w:val="24"/>
                <w:lang w:val="ky-KG"/>
              </w:rPr>
            </w:pPr>
            <w:r w:rsidRPr="00C44EE6">
              <w:rPr>
                <w:sz w:val="24"/>
                <w:szCs w:val="24"/>
                <w:lang w:val="ky-KG"/>
              </w:rPr>
              <w:t>Наиболее высокий уровень общей смертности отмечался в Базар-Курганском,  Ноокенском, Тогуз-Тороуском, Чаткальском районах и в городах Джалал-Абад и Кара-Куль.</w:t>
            </w:r>
          </w:p>
        </w:tc>
      </w:tr>
      <w:tr w:rsidR="0036162E" w:rsidRPr="00C44EE6" w14:paraId="1BB8A258" w14:textId="77777777" w:rsidTr="00663DF7">
        <w:tc>
          <w:tcPr>
            <w:tcW w:w="4677" w:type="dxa"/>
          </w:tcPr>
          <w:p w14:paraId="2DF46476" w14:textId="50DD0BB7" w:rsidR="0036162E" w:rsidRPr="00C44EE6" w:rsidRDefault="0036162E" w:rsidP="0036162E">
            <w:pPr>
              <w:ind w:firstLine="601"/>
              <w:jc w:val="both"/>
              <w:rPr>
                <w:sz w:val="24"/>
                <w:szCs w:val="24"/>
                <w:lang w:val="ky-KG"/>
              </w:rPr>
            </w:pPr>
            <w:r w:rsidRPr="00C44EE6">
              <w:rPr>
                <w:sz w:val="24"/>
                <w:szCs w:val="24"/>
                <w:lang w:val="ky-KG"/>
              </w:rPr>
              <w:t xml:space="preserve">Төрөлгөндөгү жашоонун күтүлгөн узактыгы 2024-ж. эки жыныска тең 72,0 жашты түздү, тагыраак айтканда, 2020-жылга салыштырмалуу 0,5 жылга көбөйдү. Эркек менен аялдардын орточо жаш курагындагы чоң айырмачылык өзгөчө кооптулугун жаратат. Эркектердин орточо жаш курагы 68,8 жыл болсо, аялдардын орточо жаш курагы 75,9 жыл болуп, аялдар эркектерге караганда 7,1 жылга көп жашашат.  </w:t>
            </w:r>
          </w:p>
        </w:tc>
        <w:tc>
          <w:tcPr>
            <w:tcW w:w="4820" w:type="dxa"/>
          </w:tcPr>
          <w:p w14:paraId="13BED9DD" w14:textId="69CBFDE9" w:rsidR="0036162E" w:rsidRPr="00C44EE6" w:rsidRDefault="0036162E" w:rsidP="0036162E">
            <w:pPr>
              <w:ind w:firstLine="720"/>
              <w:jc w:val="both"/>
              <w:rPr>
                <w:sz w:val="24"/>
                <w:szCs w:val="24"/>
                <w:lang w:val="ky-KG"/>
              </w:rPr>
            </w:pPr>
            <w:r w:rsidRPr="00C44EE6">
              <w:rPr>
                <w:sz w:val="24"/>
                <w:szCs w:val="24"/>
              </w:rPr>
              <w:t>Ожидаемая продолжительность жизни при рождении в 20</w:t>
            </w:r>
            <w:r w:rsidRPr="00C44EE6">
              <w:rPr>
                <w:sz w:val="24"/>
                <w:szCs w:val="24"/>
                <w:lang w:val="ky-KG"/>
              </w:rPr>
              <w:t>24</w:t>
            </w:r>
            <w:r w:rsidRPr="00C44EE6">
              <w:rPr>
                <w:sz w:val="24"/>
                <w:szCs w:val="24"/>
              </w:rPr>
              <w:t xml:space="preserve"> году составила для обеих полов 72,0 лет, т.е. по сравнению с 2020</w:t>
            </w:r>
            <w:r w:rsidRPr="00C44EE6">
              <w:rPr>
                <w:sz w:val="24"/>
                <w:szCs w:val="24"/>
                <w:lang w:val="ky-KG"/>
              </w:rPr>
              <w:t xml:space="preserve"> </w:t>
            </w:r>
            <w:r w:rsidRPr="00C44EE6">
              <w:rPr>
                <w:sz w:val="24"/>
                <w:szCs w:val="24"/>
              </w:rPr>
              <w:t xml:space="preserve">годом увеличилась на </w:t>
            </w:r>
            <w:r w:rsidRPr="00C44EE6">
              <w:rPr>
                <w:sz w:val="24"/>
                <w:szCs w:val="24"/>
                <w:lang w:val="ky-KG"/>
              </w:rPr>
              <w:t>0</w:t>
            </w:r>
            <w:r w:rsidRPr="00C44EE6">
              <w:rPr>
                <w:sz w:val="24"/>
                <w:szCs w:val="24"/>
              </w:rPr>
              <w:t>,</w:t>
            </w:r>
            <w:r w:rsidRPr="00C44EE6">
              <w:rPr>
                <w:sz w:val="24"/>
                <w:szCs w:val="24"/>
                <w:lang w:val="ky-KG"/>
              </w:rPr>
              <w:t>5</w:t>
            </w:r>
            <w:r w:rsidRPr="00C44EE6">
              <w:rPr>
                <w:sz w:val="24"/>
                <w:szCs w:val="24"/>
              </w:rPr>
              <w:t xml:space="preserve"> года. Особенно тревожен разрыв между продолжительностью</w:t>
            </w:r>
            <w:r w:rsidRPr="00C44EE6">
              <w:rPr>
                <w:sz w:val="24"/>
                <w:szCs w:val="24"/>
                <w:lang w:val="ky-KG"/>
              </w:rPr>
              <w:t xml:space="preserve"> </w:t>
            </w:r>
            <w:r w:rsidRPr="00C44EE6">
              <w:rPr>
                <w:sz w:val="24"/>
                <w:szCs w:val="24"/>
              </w:rPr>
              <w:t>жизни противоположных полов, мужчины 68,8 лет, женщины 75,9 лет, т.е. женщины, живут на 7</w:t>
            </w:r>
            <w:r w:rsidRPr="00C44EE6">
              <w:rPr>
                <w:sz w:val="24"/>
                <w:szCs w:val="24"/>
                <w:lang w:val="ky-KG"/>
              </w:rPr>
              <w:t>,1</w:t>
            </w:r>
            <w:r w:rsidRPr="00C44EE6">
              <w:rPr>
                <w:sz w:val="24"/>
                <w:szCs w:val="24"/>
              </w:rPr>
              <w:t xml:space="preserve"> лет дольше, чем мужчины.</w:t>
            </w:r>
          </w:p>
        </w:tc>
      </w:tr>
    </w:tbl>
    <w:p w14:paraId="61532EF5" w14:textId="77777777" w:rsidR="00D462F6" w:rsidRPr="00C44EE6" w:rsidRDefault="00D462F6" w:rsidP="00D462F6">
      <w:pPr>
        <w:ind w:firstLine="708"/>
        <w:jc w:val="center"/>
        <w:rPr>
          <w:sz w:val="24"/>
        </w:rPr>
      </w:pPr>
    </w:p>
    <w:p w14:paraId="2C47DAB1" w14:textId="77777777" w:rsidR="00D462F6" w:rsidRPr="00C44EE6" w:rsidRDefault="00D462F6" w:rsidP="00D462F6">
      <w:pPr>
        <w:ind w:firstLine="708"/>
        <w:jc w:val="center"/>
        <w:rPr>
          <w:sz w:val="10"/>
          <w:szCs w:val="10"/>
          <w:lang w:val="ky-KG"/>
        </w:rPr>
      </w:pPr>
    </w:p>
    <w:p w14:paraId="5B9D730B" w14:textId="77777777" w:rsidR="00D462F6" w:rsidRPr="00C44EE6" w:rsidRDefault="00D462F6" w:rsidP="00D462F6">
      <w:pPr>
        <w:ind w:firstLine="708"/>
        <w:jc w:val="center"/>
        <w:rPr>
          <w:sz w:val="10"/>
          <w:szCs w:val="10"/>
          <w:lang w:val="ky-KG"/>
        </w:rPr>
      </w:pPr>
    </w:p>
    <w:p w14:paraId="2B5D955B" w14:textId="77777777" w:rsidR="00D462F6" w:rsidRPr="00C44EE6" w:rsidRDefault="00D462F6" w:rsidP="00D462F6">
      <w:pPr>
        <w:ind w:firstLine="708"/>
        <w:jc w:val="both"/>
        <w:rPr>
          <w:sz w:val="24"/>
          <w:highlight w:val="yellow"/>
        </w:rPr>
      </w:pPr>
    </w:p>
    <w:tbl>
      <w:tblPr>
        <w:tblW w:w="9497" w:type="dxa"/>
        <w:tblInd w:w="250" w:type="dxa"/>
        <w:tblLook w:val="04A0" w:firstRow="1" w:lastRow="0" w:firstColumn="1" w:lastColumn="0" w:noHBand="0" w:noVBand="1"/>
      </w:tblPr>
      <w:tblGrid>
        <w:gridCol w:w="4677"/>
        <w:gridCol w:w="4820"/>
      </w:tblGrid>
      <w:tr w:rsidR="00D462F6" w:rsidRPr="00C44EE6" w14:paraId="790CF2D1" w14:textId="77777777" w:rsidTr="0044137F">
        <w:tc>
          <w:tcPr>
            <w:tcW w:w="4677" w:type="dxa"/>
          </w:tcPr>
          <w:p w14:paraId="40377E21" w14:textId="77777777" w:rsidR="00D462F6" w:rsidRPr="00C44EE6" w:rsidRDefault="00D462F6" w:rsidP="0044137F">
            <w:pPr>
              <w:ind w:firstLine="34"/>
              <w:jc w:val="center"/>
              <w:rPr>
                <w:sz w:val="24"/>
              </w:rPr>
            </w:pPr>
            <w:r w:rsidRPr="00C44EE6">
              <w:rPr>
                <w:b/>
                <w:sz w:val="24"/>
                <w:lang w:val="ky-KG"/>
              </w:rPr>
              <w:t>Төрөлгөндөгү жашоонун күтүлгөн узактыгы</w:t>
            </w:r>
          </w:p>
        </w:tc>
        <w:tc>
          <w:tcPr>
            <w:tcW w:w="4820" w:type="dxa"/>
          </w:tcPr>
          <w:p w14:paraId="2BEE8910" w14:textId="77777777" w:rsidR="00D462F6" w:rsidRPr="00C44EE6" w:rsidRDefault="00D462F6" w:rsidP="0044137F">
            <w:pPr>
              <w:ind w:firstLine="35"/>
              <w:jc w:val="center"/>
              <w:rPr>
                <w:sz w:val="24"/>
              </w:rPr>
            </w:pPr>
            <w:r w:rsidRPr="00C44EE6">
              <w:rPr>
                <w:b/>
                <w:sz w:val="24"/>
              </w:rPr>
              <w:t>Ожидаемая продолжительность жизни при рождении</w:t>
            </w:r>
          </w:p>
        </w:tc>
      </w:tr>
    </w:tbl>
    <w:p w14:paraId="6BA7C4C3" w14:textId="7366124C" w:rsidR="00663DF7" w:rsidRPr="00C44EE6" w:rsidRDefault="00663DF7" w:rsidP="00663DF7">
      <w:pPr>
        <w:ind w:firstLine="708"/>
        <w:jc w:val="both"/>
        <w:rPr>
          <w:sz w:val="24"/>
          <w:highlight w:val="yellow"/>
        </w:rPr>
      </w:pPr>
    </w:p>
    <w:p w14:paraId="00CC2B20" w14:textId="2DD8E905" w:rsidR="00D462F6" w:rsidRPr="00ED6F2F" w:rsidRDefault="00000000" w:rsidP="00D462F6">
      <w:pPr>
        <w:ind w:firstLine="708"/>
        <w:jc w:val="both"/>
        <w:rPr>
          <w:sz w:val="24"/>
          <w:highlight w:val="yellow"/>
        </w:rPr>
      </w:pPr>
      <w:r>
        <w:rPr>
          <w:noProof/>
          <w:sz w:val="24"/>
        </w:rPr>
        <w:object w:dxaOrig="1440" w:dyaOrig="1440" w14:anchorId="01060A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18.3pt;margin-top:59.55pt;width:483.35pt;height:302.25pt;z-index:251768832;visibility:visible;mso-wrap-distance-left:124.2pt;mso-wrap-distance-top:13.44pt;mso-wrap-distance-right:12.7pt;mso-wrap-distance-bottom:49.28pt;mso-position-horizontal-relative:text;mso-position-vertical-relative:text">
            <v:imagedata r:id="rId21" o:title=""/>
            <w10:wrap type="topAndBottom"/>
          </v:shape>
          <o:OLEObject Type="Embed" ProgID="Excel.Sheet.8" ShapeID="_x0000_s2053" DrawAspect="Content" ObjectID="_1828592573" r:id="rId22">
            <o:FieldCodes>\s</o:FieldCodes>
          </o:OLEObject>
        </w:object>
      </w:r>
    </w:p>
    <w:tbl>
      <w:tblPr>
        <w:tblW w:w="9497" w:type="dxa"/>
        <w:tblInd w:w="250" w:type="dxa"/>
        <w:tblLook w:val="04A0" w:firstRow="1" w:lastRow="0" w:firstColumn="1" w:lastColumn="0" w:noHBand="0" w:noVBand="1"/>
      </w:tblPr>
      <w:tblGrid>
        <w:gridCol w:w="4677"/>
        <w:gridCol w:w="4820"/>
      </w:tblGrid>
      <w:tr w:rsidR="006A1CC8" w:rsidRPr="00ED6F2F" w14:paraId="17AC1DB9" w14:textId="77777777" w:rsidTr="0044137F">
        <w:tc>
          <w:tcPr>
            <w:tcW w:w="4677" w:type="dxa"/>
          </w:tcPr>
          <w:p w14:paraId="339F0D05" w14:textId="07EEC19F" w:rsidR="006A1CC8" w:rsidRPr="00C44EE6" w:rsidRDefault="006A1CC8" w:rsidP="006A1CC8">
            <w:pPr>
              <w:ind w:firstLine="708"/>
              <w:jc w:val="both"/>
              <w:rPr>
                <w:sz w:val="24"/>
                <w:szCs w:val="24"/>
                <w:lang w:val="ky-KG"/>
              </w:rPr>
            </w:pPr>
            <w:r w:rsidRPr="00C44EE6">
              <w:rPr>
                <w:sz w:val="24"/>
                <w:szCs w:val="24"/>
                <w:lang w:val="ky-KG"/>
              </w:rPr>
              <w:t>Ошентип, облустун калкынын санынын көбөйүүсүнүн негизги фактору табигый өсүш болуп саналат, ал калктын төрөлүүсүнүн жана өлүмдүн өзгөрүүлөрүнүн таасиринин негизинде түзүлөт.</w:t>
            </w:r>
          </w:p>
        </w:tc>
        <w:tc>
          <w:tcPr>
            <w:tcW w:w="4820" w:type="dxa"/>
          </w:tcPr>
          <w:p w14:paraId="77C33A9A" w14:textId="3415AD83" w:rsidR="006A1CC8" w:rsidRPr="00C44EE6" w:rsidRDefault="006A1CC8" w:rsidP="006A1CC8">
            <w:pPr>
              <w:ind w:firstLine="708"/>
              <w:jc w:val="both"/>
              <w:rPr>
                <w:sz w:val="24"/>
                <w:szCs w:val="24"/>
              </w:rPr>
            </w:pPr>
            <w:r w:rsidRPr="00C44EE6">
              <w:rPr>
                <w:sz w:val="24"/>
              </w:rPr>
              <w:t>Таким образом, основным фактором увеличения численности населения области является естественный прирост, формирующийся под влиянием изменений рождаемости и смертности населения.</w:t>
            </w:r>
          </w:p>
        </w:tc>
      </w:tr>
      <w:tr w:rsidR="006A1CC8" w:rsidRPr="00ED6F2F" w14:paraId="760A0A5D" w14:textId="77777777" w:rsidTr="0044137F">
        <w:tc>
          <w:tcPr>
            <w:tcW w:w="4677" w:type="dxa"/>
          </w:tcPr>
          <w:p w14:paraId="40FCF023" w14:textId="60A551D9" w:rsidR="006A1CC8" w:rsidRPr="00C44EE6" w:rsidRDefault="006A1CC8" w:rsidP="006A1CC8">
            <w:pPr>
              <w:ind w:firstLine="601"/>
              <w:jc w:val="both"/>
              <w:rPr>
                <w:sz w:val="24"/>
                <w:lang w:val="ky-KG"/>
              </w:rPr>
            </w:pPr>
            <w:r w:rsidRPr="00C44EE6">
              <w:rPr>
                <w:sz w:val="24"/>
                <w:lang w:val="ky-KG"/>
              </w:rPr>
              <w:t xml:space="preserve">Калктын өлүмүнүн негизги себептери бул адамдын организминин эң маанилүү системаларынын бузулуу-ларынан келип чыккан оорулар болуп саналат. Алардын ичинен, кан айлануу системасынын оорулары өлүм себептеринин структурасында эң биринчи орунда келе жатат (2024-ж. бардык өлгөндөрдүн 52,7пайызы), зыяндуу шишик жана жаңы пайда болуу оорулары (12,5 пайыз), андан кийин сырттан болгон айрым таасирлердин натыйжасындагы жаракат алуулар, уулануулар (4,6 пайыз),  андан кийин дем алуу органдарынын оорулары (6,6 пайыз), тамак сиңирүү органдарынын оорулары (5,1пайыз), жугуштуу жана мите оорулары (1,3 пайыз). </w:t>
            </w:r>
          </w:p>
        </w:tc>
        <w:tc>
          <w:tcPr>
            <w:tcW w:w="4820" w:type="dxa"/>
          </w:tcPr>
          <w:p w14:paraId="429555D1" w14:textId="40F2713F" w:rsidR="006A1CC8" w:rsidRPr="00C44EE6" w:rsidRDefault="006A1CC8" w:rsidP="006A1CC8">
            <w:pPr>
              <w:ind w:firstLine="720"/>
              <w:jc w:val="both"/>
              <w:rPr>
                <w:sz w:val="24"/>
              </w:rPr>
            </w:pPr>
            <w:r w:rsidRPr="00C44EE6">
              <w:rPr>
                <w:sz w:val="24"/>
                <w:szCs w:val="24"/>
              </w:rPr>
              <w:t>Основными причинами смерти населения являются болезни, связанные с нарушением деятельности важнейших систем человеческого организма. Из них, болезни системы кровообращения остаются главной причиной в структуре причин смерти населения (</w:t>
            </w:r>
            <w:r w:rsidRPr="00C44EE6">
              <w:rPr>
                <w:sz w:val="24"/>
                <w:szCs w:val="24"/>
                <w:lang w:val="ky-KG"/>
              </w:rPr>
              <w:t>52</w:t>
            </w:r>
            <w:r w:rsidRPr="00C44EE6">
              <w:rPr>
                <w:sz w:val="24"/>
                <w:szCs w:val="24"/>
              </w:rPr>
              <w:t>,7 процента всех умерших в 2024г</w:t>
            </w:r>
            <w:r w:rsidRPr="00C44EE6">
              <w:rPr>
                <w:sz w:val="24"/>
                <w:szCs w:val="24"/>
                <w:lang w:val="ky-KG"/>
              </w:rPr>
              <w:t>.</w:t>
            </w:r>
            <w:r w:rsidRPr="00C44EE6">
              <w:rPr>
                <w:sz w:val="24"/>
                <w:szCs w:val="24"/>
              </w:rPr>
              <w:t>), новообразования (12,5</w:t>
            </w:r>
            <w:r w:rsidRPr="00C44EE6">
              <w:rPr>
                <w:sz w:val="24"/>
                <w:szCs w:val="24"/>
                <w:lang w:val="ky-KG"/>
              </w:rPr>
              <w:t xml:space="preserve"> </w:t>
            </w:r>
            <w:r w:rsidRPr="00C44EE6">
              <w:rPr>
                <w:sz w:val="24"/>
                <w:szCs w:val="24"/>
              </w:rPr>
              <w:t>процента), затем травмы отравления и некоторые другие последствия воздействия внешних причин (4,6 процента), затем болезни органов дыхания (6,6 процента), болезни органов пищеварения (5,1 процента), инфекционные и паразитарные болезни (1,3 процента).</w:t>
            </w:r>
          </w:p>
        </w:tc>
      </w:tr>
      <w:tr w:rsidR="002E74FE" w:rsidRPr="00ED6F2F" w14:paraId="4A6054C1" w14:textId="77777777" w:rsidTr="0044137F">
        <w:tc>
          <w:tcPr>
            <w:tcW w:w="4677" w:type="dxa"/>
          </w:tcPr>
          <w:p w14:paraId="7A3C9103" w14:textId="67317C61" w:rsidR="002E74FE" w:rsidRPr="00C44EE6" w:rsidRDefault="002E74FE" w:rsidP="002E74FE">
            <w:pPr>
              <w:ind w:firstLine="601"/>
              <w:jc w:val="both"/>
              <w:rPr>
                <w:sz w:val="24"/>
                <w:szCs w:val="24"/>
                <w:lang w:val="ky-KG"/>
              </w:rPr>
            </w:pPr>
            <w:r w:rsidRPr="00C44EE6">
              <w:rPr>
                <w:sz w:val="24"/>
                <w:szCs w:val="24"/>
                <w:lang w:val="ky-KG"/>
              </w:rPr>
              <w:t>Азыркы заманда адамдын жашоо турмушундагы көйгөйү жаны төрөлгөн наристе балдардын жашоосун сактап калуусу айрыкча актуалдуу. Жалал-Абад облусунун аймагында 2024-жылы 1 жашка чейинки наристелерден 341 бала өлгөн (жалпы өлгөндөрдүн санынын 6,1 пайызы). 2024-жылы тирүү төрөлгөн 1000 балага 11,5 өлгөн ымыркайлар (промилл) туура келет, 2020-жылы 12,1 промилл болгон.</w:t>
            </w:r>
          </w:p>
        </w:tc>
        <w:tc>
          <w:tcPr>
            <w:tcW w:w="4820" w:type="dxa"/>
          </w:tcPr>
          <w:p w14:paraId="00940A6B" w14:textId="498B9CA4" w:rsidR="002E74FE" w:rsidRPr="00C44EE6" w:rsidRDefault="002E74FE" w:rsidP="002E74FE">
            <w:pPr>
              <w:ind w:firstLine="720"/>
              <w:jc w:val="both"/>
              <w:rPr>
                <w:sz w:val="24"/>
                <w:szCs w:val="24"/>
              </w:rPr>
            </w:pPr>
            <w:r w:rsidRPr="00C44EE6">
              <w:rPr>
                <w:sz w:val="24"/>
                <w:szCs w:val="24"/>
              </w:rPr>
              <w:t xml:space="preserve">В современных условиях жизнедеятельности человека проблема сохранения жизни новорожденных особенно актуальна. На территории </w:t>
            </w:r>
            <w:r w:rsidRPr="00C44EE6">
              <w:rPr>
                <w:sz w:val="24"/>
                <w:szCs w:val="24"/>
                <w:lang w:val="ky-KG"/>
              </w:rPr>
              <w:t>Джалал-Абад</w:t>
            </w:r>
            <w:proofErr w:type="spellStart"/>
            <w:r w:rsidRPr="00C44EE6">
              <w:rPr>
                <w:sz w:val="24"/>
                <w:szCs w:val="24"/>
              </w:rPr>
              <w:t>ской</w:t>
            </w:r>
            <w:proofErr w:type="spellEnd"/>
            <w:r w:rsidRPr="00C44EE6">
              <w:rPr>
                <w:sz w:val="24"/>
                <w:szCs w:val="24"/>
              </w:rPr>
              <w:t xml:space="preserve"> области в 20</w:t>
            </w:r>
            <w:r w:rsidRPr="00C44EE6">
              <w:rPr>
                <w:sz w:val="24"/>
                <w:szCs w:val="24"/>
                <w:lang w:val="ky-KG"/>
              </w:rPr>
              <w:t>24</w:t>
            </w:r>
            <w:r w:rsidRPr="00C44EE6">
              <w:rPr>
                <w:sz w:val="24"/>
                <w:szCs w:val="24"/>
              </w:rPr>
              <w:t xml:space="preserve"> году на первом году жизни умерли 341 ребенка (6,1 процента от общего числа умерших). В 20</w:t>
            </w:r>
            <w:r w:rsidRPr="00C44EE6">
              <w:rPr>
                <w:sz w:val="24"/>
                <w:szCs w:val="24"/>
                <w:lang w:val="ky-KG"/>
              </w:rPr>
              <w:t>24</w:t>
            </w:r>
            <w:r w:rsidRPr="00C44EE6">
              <w:rPr>
                <w:sz w:val="24"/>
                <w:szCs w:val="24"/>
              </w:rPr>
              <w:t xml:space="preserve"> году </w:t>
            </w:r>
            <w:proofErr w:type="gramStart"/>
            <w:r w:rsidRPr="00C44EE6">
              <w:rPr>
                <w:sz w:val="24"/>
                <w:szCs w:val="24"/>
              </w:rPr>
              <w:t>на 1000 детей</w:t>
            </w:r>
            <w:proofErr w:type="gramEnd"/>
            <w:r w:rsidRPr="00C44EE6">
              <w:rPr>
                <w:sz w:val="24"/>
                <w:szCs w:val="24"/>
              </w:rPr>
              <w:t xml:space="preserve"> родившихся живыми приходится 11,5 умерших новорожденных, в 2020 году 12,1 промилле.</w:t>
            </w:r>
          </w:p>
        </w:tc>
      </w:tr>
      <w:tr w:rsidR="002E74FE" w:rsidRPr="00ED6F2F" w14:paraId="5EAF4DBF" w14:textId="77777777" w:rsidTr="0044137F">
        <w:tc>
          <w:tcPr>
            <w:tcW w:w="4677" w:type="dxa"/>
          </w:tcPr>
          <w:p w14:paraId="6CA05E8E" w14:textId="18E42F61" w:rsidR="002E74FE" w:rsidRPr="00C44EE6" w:rsidRDefault="002E74FE" w:rsidP="002E74FE">
            <w:pPr>
              <w:ind w:firstLine="601"/>
              <w:jc w:val="both"/>
              <w:rPr>
                <w:sz w:val="24"/>
                <w:szCs w:val="24"/>
                <w:lang w:val="ky-KG"/>
              </w:rPr>
            </w:pPr>
            <w:r w:rsidRPr="00C44EE6">
              <w:rPr>
                <w:sz w:val="24"/>
                <w:szCs w:val="24"/>
                <w:lang w:val="ky-KG"/>
              </w:rPr>
              <w:t>Никелешүүнүн көбөйүү деңгээлинин тенденциясы сакталбай калууда. Калктын туруктуу салттагы нике үй-бүлө нормалары төрөлгөндөрдүн көбөйүшүнүн негизин түзөт, анткени төрөлгөндөрдүн 89 пайыздан көбү расмий түрдө катталган никеде тургандардын балдары.</w:t>
            </w:r>
          </w:p>
        </w:tc>
        <w:tc>
          <w:tcPr>
            <w:tcW w:w="4820" w:type="dxa"/>
          </w:tcPr>
          <w:p w14:paraId="5F586F36" w14:textId="3A149666" w:rsidR="002E74FE" w:rsidRPr="00C44EE6" w:rsidRDefault="002E74FE" w:rsidP="002E74FE">
            <w:pPr>
              <w:ind w:firstLine="720"/>
              <w:jc w:val="both"/>
              <w:rPr>
                <w:sz w:val="24"/>
                <w:szCs w:val="24"/>
              </w:rPr>
            </w:pPr>
            <w:r w:rsidRPr="00C44EE6">
              <w:rPr>
                <w:sz w:val="24"/>
                <w:szCs w:val="24"/>
                <w:lang w:val="ky-KG"/>
              </w:rPr>
              <w:t>Не с</w:t>
            </w:r>
            <w:r w:rsidRPr="00C44EE6">
              <w:rPr>
                <w:sz w:val="24"/>
                <w:szCs w:val="24"/>
              </w:rPr>
              <w:t>охраняется тенденция уменьшения уровня брачности</w:t>
            </w:r>
            <w:r w:rsidRPr="00C44EE6">
              <w:rPr>
                <w:sz w:val="24"/>
                <w:szCs w:val="24"/>
                <w:lang w:val="ky-KG"/>
              </w:rPr>
              <w:t>.</w:t>
            </w:r>
            <w:r w:rsidRPr="00C44EE6">
              <w:rPr>
                <w:sz w:val="24"/>
                <w:szCs w:val="24"/>
              </w:rPr>
              <w:t xml:space="preserve"> Устойчивые традиционные нормы брачно-семейного поведения населения являются основой высокого уровня рождаемости, т.к. почти 89 процентов детей рождаются у супругов, состоящих в официально зарегистрированном браке. </w:t>
            </w:r>
          </w:p>
        </w:tc>
      </w:tr>
      <w:tr w:rsidR="002E74FE" w:rsidRPr="00ED6F2F" w14:paraId="1E7AD308" w14:textId="77777777" w:rsidTr="0044137F">
        <w:tc>
          <w:tcPr>
            <w:tcW w:w="4677" w:type="dxa"/>
          </w:tcPr>
          <w:p w14:paraId="06467E25" w14:textId="114CB71B" w:rsidR="002E74FE" w:rsidRPr="00C44EE6" w:rsidRDefault="002E74FE" w:rsidP="002E74FE">
            <w:pPr>
              <w:ind w:firstLine="601"/>
              <w:jc w:val="both"/>
              <w:rPr>
                <w:sz w:val="24"/>
                <w:szCs w:val="24"/>
                <w:lang w:val="ky-KG"/>
              </w:rPr>
            </w:pPr>
            <w:r w:rsidRPr="00C44EE6">
              <w:rPr>
                <w:sz w:val="24"/>
                <w:szCs w:val="24"/>
                <w:lang w:val="ky-KG"/>
              </w:rPr>
              <w:t xml:space="preserve">2024-жылы облусубуздун аймагында 9024 жаңы үй-бүлө түзүлдү (6,7 промилл), 2020-ж. бул көрсөткүч 7952 учурду түзгөн (6,4 промилл). </w:t>
            </w:r>
          </w:p>
        </w:tc>
        <w:tc>
          <w:tcPr>
            <w:tcW w:w="4820" w:type="dxa"/>
          </w:tcPr>
          <w:p w14:paraId="5961F82E" w14:textId="5686B7F1" w:rsidR="002E74FE" w:rsidRPr="00C44EE6" w:rsidRDefault="002E74FE" w:rsidP="002E74FE">
            <w:pPr>
              <w:ind w:firstLine="720"/>
              <w:jc w:val="both"/>
              <w:rPr>
                <w:sz w:val="24"/>
                <w:szCs w:val="24"/>
              </w:rPr>
            </w:pPr>
            <w:r w:rsidRPr="00C44EE6">
              <w:rPr>
                <w:sz w:val="24"/>
                <w:szCs w:val="24"/>
              </w:rPr>
              <w:t>В 20</w:t>
            </w:r>
            <w:r w:rsidRPr="00C44EE6">
              <w:rPr>
                <w:sz w:val="24"/>
                <w:szCs w:val="24"/>
                <w:lang w:val="ky-KG"/>
              </w:rPr>
              <w:t>24</w:t>
            </w:r>
            <w:r w:rsidRPr="00C44EE6">
              <w:rPr>
                <w:sz w:val="24"/>
                <w:szCs w:val="24"/>
              </w:rPr>
              <w:t xml:space="preserve"> году на территории нашей области образовалось </w:t>
            </w:r>
            <w:r w:rsidRPr="00C44EE6">
              <w:rPr>
                <w:sz w:val="24"/>
                <w:szCs w:val="24"/>
                <w:lang w:val="ky-KG"/>
              </w:rPr>
              <w:t>9024</w:t>
            </w:r>
            <w:r w:rsidRPr="00C44EE6">
              <w:rPr>
                <w:sz w:val="24"/>
                <w:szCs w:val="24"/>
              </w:rPr>
              <w:t xml:space="preserve"> новых супружеских пар (6,7 промилле), в 2020 году этот показатель составлял 79</w:t>
            </w:r>
            <w:r w:rsidRPr="00C44EE6">
              <w:rPr>
                <w:sz w:val="24"/>
                <w:szCs w:val="24"/>
                <w:lang w:val="ky-KG"/>
              </w:rPr>
              <w:t>52</w:t>
            </w:r>
            <w:r w:rsidRPr="00C44EE6">
              <w:rPr>
                <w:sz w:val="24"/>
                <w:szCs w:val="24"/>
              </w:rPr>
              <w:t xml:space="preserve"> случай (6,4 промилле.</w:t>
            </w:r>
          </w:p>
        </w:tc>
      </w:tr>
      <w:tr w:rsidR="002E74FE" w:rsidRPr="00ED6F2F" w14:paraId="3D65DAD3" w14:textId="77777777" w:rsidTr="0044137F">
        <w:tc>
          <w:tcPr>
            <w:tcW w:w="4677" w:type="dxa"/>
          </w:tcPr>
          <w:p w14:paraId="68FE96F8" w14:textId="2D7658D9" w:rsidR="002E74FE" w:rsidRPr="00C44EE6" w:rsidRDefault="002E74FE" w:rsidP="002E74FE">
            <w:pPr>
              <w:tabs>
                <w:tab w:val="left" w:pos="525"/>
              </w:tabs>
              <w:ind w:firstLine="601"/>
              <w:jc w:val="both"/>
              <w:rPr>
                <w:sz w:val="24"/>
                <w:szCs w:val="24"/>
                <w:lang w:val="ky-KG"/>
              </w:rPr>
            </w:pPr>
            <w:r w:rsidRPr="00C44EE6">
              <w:rPr>
                <w:sz w:val="24"/>
                <w:szCs w:val="24"/>
                <w:lang w:val="ky-KG"/>
              </w:rPr>
              <w:t xml:space="preserve">2020-жылга салыштырмалуу ажырашуулардын саны көбөйдү: 2020-жылы. 1463дан (1,2 промилл), 2024-жылы. 2234ге чейин (1,7 промилл). </w:t>
            </w:r>
          </w:p>
        </w:tc>
        <w:tc>
          <w:tcPr>
            <w:tcW w:w="4820" w:type="dxa"/>
          </w:tcPr>
          <w:p w14:paraId="09F2A9B9" w14:textId="314D3706" w:rsidR="002E74FE" w:rsidRPr="00C44EE6" w:rsidRDefault="002E74FE" w:rsidP="002E74FE">
            <w:pPr>
              <w:ind w:firstLine="720"/>
              <w:jc w:val="both"/>
              <w:rPr>
                <w:sz w:val="24"/>
                <w:szCs w:val="24"/>
              </w:rPr>
            </w:pPr>
            <w:r w:rsidRPr="00C44EE6">
              <w:rPr>
                <w:sz w:val="24"/>
                <w:szCs w:val="24"/>
              </w:rPr>
              <w:t>По сравнению с 2020 годом увеличил</w:t>
            </w:r>
            <w:r w:rsidRPr="00C44EE6">
              <w:rPr>
                <w:sz w:val="24"/>
                <w:szCs w:val="24"/>
                <w:lang w:val="ky-KG"/>
              </w:rPr>
              <w:t>о</w:t>
            </w:r>
            <w:proofErr w:type="spellStart"/>
            <w:r w:rsidRPr="00C44EE6">
              <w:rPr>
                <w:sz w:val="24"/>
                <w:szCs w:val="24"/>
              </w:rPr>
              <w:t>сь</w:t>
            </w:r>
            <w:proofErr w:type="spellEnd"/>
            <w:r w:rsidRPr="00C44EE6">
              <w:rPr>
                <w:sz w:val="24"/>
                <w:szCs w:val="24"/>
              </w:rPr>
              <w:t xml:space="preserve"> число разводов: с </w:t>
            </w:r>
            <w:r w:rsidRPr="00C44EE6">
              <w:rPr>
                <w:sz w:val="24"/>
                <w:szCs w:val="24"/>
                <w:lang w:val="ky-KG"/>
              </w:rPr>
              <w:t>1463</w:t>
            </w:r>
            <w:r w:rsidRPr="00C44EE6">
              <w:rPr>
                <w:sz w:val="24"/>
                <w:szCs w:val="24"/>
              </w:rPr>
              <w:t xml:space="preserve"> – в 2020 году (1,2 промилле) до 2234 – в 20</w:t>
            </w:r>
            <w:r w:rsidRPr="00C44EE6">
              <w:rPr>
                <w:sz w:val="24"/>
                <w:szCs w:val="24"/>
                <w:lang w:val="ky-KG"/>
              </w:rPr>
              <w:t>24</w:t>
            </w:r>
            <w:r w:rsidRPr="00C44EE6">
              <w:rPr>
                <w:sz w:val="24"/>
                <w:szCs w:val="24"/>
              </w:rPr>
              <w:t xml:space="preserve"> году (1,7 промилле). </w:t>
            </w:r>
          </w:p>
        </w:tc>
      </w:tr>
      <w:tr w:rsidR="002E74FE" w:rsidRPr="00ED6F2F" w14:paraId="2E9644C2" w14:textId="77777777" w:rsidTr="0044137F">
        <w:tc>
          <w:tcPr>
            <w:tcW w:w="4677" w:type="dxa"/>
          </w:tcPr>
          <w:p w14:paraId="0788A879" w14:textId="6EA41FB9" w:rsidR="002E74FE" w:rsidRPr="00C44EE6" w:rsidRDefault="002E74FE" w:rsidP="002E74FE">
            <w:pPr>
              <w:ind w:firstLine="601"/>
              <w:jc w:val="both"/>
              <w:rPr>
                <w:sz w:val="24"/>
                <w:szCs w:val="24"/>
                <w:lang w:val="ky-KG"/>
              </w:rPr>
            </w:pPr>
            <w:r w:rsidRPr="00C44EE6">
              <w:rPr>
                <w:sz w:val="24"/>
                <w:szCs w:val="24"/>
                <w:lang w:val="ky-KG"/>
              </w:rPr>
              <w:t>Калктын миграциясы эң маанилүү статистикалык көрсөткүчтөрдүн бири болуп эсептелет жана көбүнчө, өлкөнүн социалдык-экономикалык абалынан жана анын жаратылыш-климаттык шартынан көз каранды. 2024-жылы бардык мигранттардын саны 17134 адамды түздү (2020-ж. 11054 адам), алардын ичинен, ички миграциянын көлөмү 14629 адам, тышкы миграция 2505 адам, алардын ичинен 2398 адам КМШ өлкөлөрүнүн мигранттары,107-алыскы чет өлкөлөрдүкү. 2024-жыл ичинде Жалал-абад облусуна Кыргыз Республикасынын чегинен 2380 адам келген, ал 2020-жылга караганда 64,0 пайызга көп, бирок, ошондой болсо да, иммигранттардын саны аз болуп, облустун миграциялык өсүшүнүн тетири көрсөткүчүн жаба албайт. Өлкөдөн тышкары кеткен адамдардын саны 125 адамды түздү бул 2020-жылга караганда 71,1 пайызга аз, алардын ичинен 124 адам КМШ өлкөлөрүнө кеткен, 1-алыскы чет өлкөлөргө. Миграциялык агым-2255 адамды түздү же 2020-жылга караганда 1,0 пайызга же эки эсеге көбөйдү.</w:t>
            </w:r>
          </w:p>
        </w:tc>
        <w:tc>
          <w:tcPr>
            <w:tcW w:w="4820" w:type="dxa"/>
          </w:tcPr>
          <w:p w14:paraId="20B3D8F0" w14:textId="37747B42" w:rsidR="002E74FE" w:rsidRPr="00C44EE6" w:rsidRDefault="002E74FE" w:rsidP="002E74FE">
            <w:pPr>
              <w:ind w:firstLine="720"/>
              <w:jc w:val="both"/>
              <w:rPr>
                <w:sz w:val="24"/>
                <w:szCs w:val="24"/>
                <w:lang w:val="ky-KG"/>
              </w:rPr>
            </w:pPr>
            <w:r w:rsidRPr="00C44EE6">
              <w:rPr>
                <w:sz w:val="24"/>
                <w:szCs w:val="24"/>
              </w:rPr>
              <w:t>Миграция населения является одним из главных компонентов динамики численности населения и во многом зависит от социально-экономического положения страны и ее природно-климатических условий. В 20</w:t>
            </w:r>
            <w:r w:rsidRPr="00C44EE6">
              <w:rPr>
                <w:sz w:val="24"/>
                <w:szCs w:val="24"/>
                <w:lang w:val="ky-KG"/>
              </w:rPr>
              <w:t>24</w:t>
            </w:r>
            <w:r w:rsidRPr="00C44EE6">
              <w:rPr>
                <w:sz w:val="24"/>
                <w:szCs w:val="24"/>
              </w:rPr>
              <w:t xml:space="preserve"> году общее число мигрантов составило </w:t>
            </w:r>
            <w:r w:rsidRPr="00C44EE6">
              <w:rPr>
                <w:sz w:val="24"/>
                <w:szCs w:val="24"/>
                <w:lang w:val="ky-KG"/>
              </w:rPr>
              <w:t>17134</w:t>
            </w:r>
            <w:r w:rsidRPr="00C44EE6">
              <w:rPr>
                <w:sz w:val="24"/>
                <w:szCs w:val="24"/>
              </w:rPr>
              <w:t xml:space="preserve"> человек (1</w:t>
            </w:r>
            <w:r w:rsidRPr="00C44EE6">
              <w:rPr>
                <w:sz w:val="24"/>
                <w:szCs w:val="24"/>
                <w:lang w:val="ky-KG"/>
              </w:rPr>
              <w:t>1054</w:t>
            </w:r>
            <w:r w:rsidRPr="00C44EE6">
              <w:rPr>
                <w:sz w:val="24"/>
                <w:szCs w:val="24"/>
              </w:rPr>
              <w:t xml:space="preserve"> человек в 2020г), из них в потоке внутренней миграции </w:t>
            </w:r>
            <w:r w:rsidRPr="00C44EE6">
              <w:rPr>
                <w:sz w:val="24"/>
                <w:szCs w:val="24"/>
                <w:lang w:val="ky-KG"/>
              </w:rPr>
              <w:t>14629</w:t>
            </w:r>
            <w:r w:rsidRPr="00C44EE6">
              <w:rPr>
                <w:sz w:val="24"/>
                <w:szCs w:val="24"/>
              </w:rPr>
              <w:t xml:space="preserve"> человек, </w:t>
            </w:r>
            <w:proofErr w:type="spellStart"/>
            <w:r w:rsidRPr="00C44EE6">
              <w:rPr>
                <w:sz w:val="24"/>
                <w:szCs w:val="24"/>
              </w:rPr>
              <w:t>внешн</w:t>
            </w:r>
            <w:proofErr w:type="spellEnd"/>
            <w:r w:rsidRPr="00C44EE6">
              <w:rPr>
                <w:sz w:val="24"/>
                <w:szCs w:val="24"/>
                <w:lang w:val="ky-KG"/>
              </w:rPr>
              <w:t>ей</w:t>
            </w:r>
            <w:r w:rsidRPr="00C44EE6">
              <w:rPr>
                <w:sz w:val="24"/>
                <w:szCs w:val="24"/>
              </w:rPr>
              <w:t xml:space="preserve"> 2505, из которых </w:t>
            </w:r>
            <w:r w:rsidRPr="00C44EE6">
              <w:rPr>
                <w:sz w:val="24"/>
                <w:szCs w:val="24"/>
                <w:lang w:val="ky-KG"/>
              </w:rPr>
              <w:t>2398</w:t>
            </w:r>
            <w:r w:rsidRPr="00C44EE6">
              <w:rPr>
                <w:sz w:val="24"/>
                <w:szCs w:val="24"/>
              </w:rPr>
              <w:t xml:space="preserve"> человек составили мигранты стран Содружества,</w:t>
            </w:r>
            <w:r w:rsidRPr="00C44EE6">
              <w:rPr>
                <w:sz w:val="24"/>
                <w:szCs w:val="24"/>
                <w:lang w:val="ky-KG"/>
              </w:rPr>
              <w:t xml:space="preserve"> 107</w:t>
            </w:r>
            <w:r w:rsidRPr="00C44EE6">
              <w:rPr>
                <w:sz w:val="24"/>
                <w:szCs w:val="24"/>
              </w:rPr>
              <w:t>-Дальнего Зарубежья. В течении 20</w:t>
            </w:r>
            <w:r w:rsidRPr="00C44EE6">
              <w:rPr>
                <w:sz w:val="24"/>
                <w:szCs w:val="24"/>
                <w:lang w:val="ky-KG"/>
              </w:rPr>
              <w:t>24</w:t>
            </w:r>
            <w:r w:rsidRPr="00C44EE6">
              <w:rPr>
                <w:sz w:val="24"/>
                <w:szCs w:val="24"/>
              </w:rPr>
              <w:t xml:space="preserve"> года в </w:t>
            </w:r>
            <w:r w:rsidRPr="00C44EE6">
              <w:rPr>
                <w:sz w:val="24"/>
                <w:szCs w:val="24"/>
                <w:lang w:val="ky-KG"/>
              </w:rPr>
              <w:t>Джалал-Абад</w:t>
            </w:r>
            <w:proofErr w:type="spellStart"/>
            <w:r w:rsidRPr="00C44EE6">
              <w:rPr>
                <w:sz w:val="24"/>
                <w:szCs w:val="24"/>
              </w:rPr>
              <w:t>скую</w:t>
            </w:r>
            <w:proofErr w:type="spellEnd"/>
            <w:r w:rsidRPr="00C44EE6">
              <w:rPr>
                <w:sz w:val="24"/>
                <w:szCs w:val="24"/>
              </w:rPr>
              <w:t xml:space="preserve"> область из-за пределов Кыргызской Республики прибыло 2380 человек, что в 64,0 процента</w:t>
            </w:r>
            <w:r w:rsidRPr="00C44EE6">
              <w:rPr>
                <w:sz w:val="24"/>
                <w:szCs w:val="24"/>
                <w:lang w:val="ky-KG"/>
              </w:rPr>
              <w:t xml:space="preserve"> бол</w:t>
            </w:r>
            <w:proofErr w:type="spellStart"/>
            <w:r w:rsidRPr="00C44EE6">
              <w:rPr>
                <w:sz w:val="24"/>
                <w:szCs w:val="24"/>
              </w:rPr>
              <w:t>ьше</w:t>
            </w:r>
            <w:proofErr w:type="spellEnd"/>
            <w:r w:rsidRPr="00C44EE6">
              <w:rPr>
                <w:sz w:val="24"/>
                <w:szCs w:val="24"/>
              </w:rPr>
              <w:t xml:space="preserve">, чем в 2020 г., но </w:t>
            </w:r>
            <w:proofErr w:type="gramStart"/>
            <w:r w:rsidRPr="00C44EE6">
              <w:rPr>
                <w:sz w:val="24"/>
                <w:szCs w:val="24"/>
              </w:rPr>
              <w:t>все таки</w:t>
            </w:r>
            <w:proofErr w:type="gramEnd"/>
            <w:r w:rsidRPr="00C44EE6">
              <w:rPr>
                <w:sz w:val="24"/>
                <w:szCs w:val="24"/>
              </w:rPr>
              <w:t xml:space="preserve"> число иммигрантов остается незначительным и не является фактором, влияющим на восполнение отрицательного миграционного сальдо области. Выбыло за пределы республики 1</w:t>
            </w:r>
            <w:r w:rsidRPr="00C44EE6">
              <w:rPr>
                <w:sz w:val="24"/>
                <w:szCs w:val="24"/>
                <w:lang w:val="ky-KG"/>
              </w:rPr>
              <w:t xml:space="preserve">25 </w:t>
            </w:r>
            <w:r w:rsidRPr="00C44EE6">
              <w:rPr>
                <w:sz w:val="24"/>
                <w:szCs w:val="24"/>
              </w:rPr>
              <w:t xml:space="preserve">человек - что на </w:t>
            </w:r>
            <w:r w:rsidRPr="00C44EE6">
              <w:rPr>
                <w:sz w:val="24"/>
                <w:szCs w:val="24"/>
                <w:lang w:val="ky-KG"/>
              </w:rPr>
              <w:t>71</w:t>
            </w:r>
            <w:r w:rsidRPr="00C44EE6">
              <w:rPr>
                <w:sz w:val="24"/>
                <w:szCs w:val="24"/>
              </w:rPr>
              <w:t>,</w:t>
            </w:r>
            <w:r w:rsidRPr="00C44EE6">
              <w:rPr>
                <w:sz w:val="24"/>
                <w:szCs w:val="24"/>
                <w:lang w:val="ky-KG"/>
              </w:rPr>
              <w:t>1</w:t>
            </w:r>
            <w:r w:rsidRPr="00C44EE6">
              <w:rPr>
                <w:sz w:val="24"/>
                <w:szCs w:val="24"/>
              </w:rPr>
              <w:t xml:space="preserve"> процента </w:t>
            </w:r>
            <w:r w:rsidRPr="00C44EE6">
              <w:rPr>
                <w:sz w:val="24"/>
                <w:szCs w:val="24"/>
                <w:lang w:val="ky-KG"/>
              </w:rPr>
              <w:t>мен</w:t>
            </w:r>
            <w:proofErr w:type="spellStart"/>
            <w:r w:rsidRPr="00C44EE6">
              <w:rPr>
                <w:sz w:val="24"/>
                <w:szCs w:val="24"/>
              </w:rPr>
              <w:t>ьше</w:t>
            </w:r>
            <w:proofErr w:type="spellEnd"/>
            <w:r w:rsidRPr="00C44EE6">
              <w:rPr>
                <w:sz w:val="24"/>
                <w:szCs w:val="24"/>
              </w:rPr>
              <w:t>, чем в 2020 году, из них 1</w:t>
            </w:r>
            <w:r w:rsidRPr="00C44EE6">
              <w:rPr>
                <w:sz w:val="24"/>
                <w:szCs w:val="24"/>
                <w:lang w:val="ky-KG"/>
              </w:rPr>
              <w:t>24</w:t>
            </w:r>
            <w:r w:rsidRPr="00C44EE6">
              <w:rPr>
                <w:sz w:val="24"/>
                <w:szCs w:val="24"/>
              </w:rPr>
              <w:t xml:space="preserve"> человек – в страны СНГ, </w:t>
            </w:r>
            <w:r w:rsidRPr="00C44EE6">
              <w:rPr>
                <w:sz w:val="24"/>
                <w:szCs w:val="24"/>
                <w:lang w:val="ky-KG"/>
              </w:rPr>
              <w:t>1</w:t>
            </w:r>
            <w:r w:rsidRPr="00C44EE6">
              <w:rPr>
                <w:sz w:val="24"/>
                <w:szCs w:val="24"/>
              </w:rPr>
              <w:t xml:space="preserve"> – в Дальнее Зарубежья. Миграционный отток составил -</w:t>
            </w:r>
            <w:r w:rsidRPr="00C44EE6">
              <w:rPr>
                <w:sz w:val="24"/>
                <w:szCs w:val="24"/>
                <w:lang w:val="ky-KG"/>
              </w:rPr>
              <w:t>2255</w:t>
            </w:r>
            <w:r w:rsidRPr="00C44EE6">
              <w:rPr>
                <w:sz w:val="24"/>
                <w:szCs w:val="24"/>
              </w:rPr>
              <w:t xml:space="preserve"> человек </w:t>
            </w:r>
            <w:r w:rsidRPr="00C44EE6">
              <w:rPr>
                <w:sz w:val="24"/>
                <w:szCs w:val="24"/>
                <w:lang w:val="ky-KG"/>
              </w:rPr>
              <w:t>увеличилось</w:t>
            </w:r>
            <w:r w:rsidRPr="00C44EE6">
              <w:rPr>
                <w:sz w:val="24"/>
                <w:szCs w:val="24"/>
              </w:rPr>
              <w:t xml:space="preserve"> на 1,</w:t>
            </w:r>
            <w:r w:rsidRPr="00C44EE6">
              <w:rPr>
                <w:sz w:val="24"/>
                <w:szCs w:val="24"/>
                <w:lang w:val="ky-KG"/>
              </w:rPr>
              <w:t>0</w:t>
            </w:r>
            <w:r w:rsidRPr="00C44EE6">
              <w:rPr>
                <w:sz w:val="24"/>
                <w:szCs w:val="24"/>
              </w:rPr>
              <w:t xml:space="preserve"> процента</w:t>
            </w:r>
            <w:r w:rsidRPr="00C44EE6">
              <w:rPr>
                <w:sz w:val="24"/>
                <w:szCs w:val="24"/>
                <w:lang w:val="ky-KG"/>
              </w:rPr>
              <w:t xml:space="preserve"> или на два раза</w:t>
            </w:r>
            <w:r w:rsidRPr="00C44EE6">
              <w:rPr>
                <w:sz w:val="24"/>
                <w:szCs w:val="24"/>
              </w:rPr>
              <w:t xml:space="preserve"> </w:t>
            </w:r>
            <w:r w:rsidRPr="00C44EE6">
              <w:rPr>
                <w:sz w:val="24"/>
                <w:szCs w:val="24"/>
                <w:lang w:val="ky-KG"/>
              </w:rPr>
              <w:t>бол</w:t>
            </w:r>
            <w:proofErr w:type="spellStart"/>
            <w:r w:rsidRPr="00C44EE6">
              <w:rPr>
                <w:sz w:val="24"/>
                <w:szCs w:val="24"/>
              </w:rPr>
              <w:t>ьше</w:t>
            </w:r>
            <w:proofErr w:type="spellEnd"/>
            <w:r w:rsidRPr="00C44EE6">
              <w:rPr>
                <w:sz w:val="24"/>
                <w:szCs w:val="24"/>
              </w:rPr>
              <w:t>, чем в 2020г</w:t>
            </w:r>
            <w:r w:rsidRPr="00C44EE6">
              <w:rPr>
                <w:sz w:val="24"/>
                <w:szCs w:val="24"/>
                <w:lang w:val="ky-KG"/>
              </w:rPr>
              <w:t>.</w:t>
            </w:r>
          </w:p>
        </w:tc>
      </w:tr>
      <w:tr w:rsidR="002E74FE" w:rsidRPr="00ED6F2F" w14:paraId="70F1452D" w14:textId="77777777" w:rsidTr="0044137F">
        <w:tc>
          <w:tcPr>
            <w:tcW w:w="4677" w:type="dxa"/>
          </w:tcPr>
          <w:p w14:paraId="55D88A96" w14:textId="5EA60146" w:rsidR="002E74FE" w:rsidRPr="00C44EE6" w:rsidRDefault="002E74FE" w:rsidP="002E74FE">
            <w:pPr>
              <w:ind w:firstLine="601"/>
              <w:jc w:val="both"/>
              <w:rPr>
                <w:sz w:val="24"/>
                <w:szCs w:val="24"/>
                <w:lang w:val="ky-KG"/>
              </w:rPr>
            </w:pPr>
            <w:r w:rsidRPr="00C44EE6">
              <w:rPr>
                <w:sz w:val="24"/>
                <w:szCs w:val="24"/>
                <w:lang w:val="ky-KG"/>
              </w:rPr>
              <w:t>Жалал-Абад</w:t>
            </w:r>
            <w:r w:rsidRPr="00C44EE6">
              <w:rPr>
                <w:sz w:val="24"/>
                <w:szCs w:val="24"/>
              </w:rPr>
              <w:t xml:space="preserve"> </w:t>
            </w:r>
            <w:proofErr w:type="spellStart"/>
            <w:r w:rsidRPr="00C44EE6">
              <w:rPr>
                <w:sz w:val="24"/>
                <w:szCs w:val="24"/>
              </w:rPr>
              <w:t>облусунун</w:t>
            </w:r>
            <w:proofErr w:type="spellEnd"/>
            <w:r w:rsidRPr="00C44EE6">
              <w:rPr>
                <w:sz w:val="24"/>
                <w:szCs w:val="24"/>
              </w:rPr>
              <w:t xml:space="preserve"> </w:t>
            </w:r>
            <w:proofErr w:type="spellStart"/>
            <w:r w:rsidRPr="00C44EE6">
              <w:rPr>
                <w:sz w:val="24"/>
                <w:szCs w:val="24"/>
              </w:rPr>
              <w:t>демографиялык</w:t>
            </w:r>
            <w:proofErr w:type="spellEnd"/>
            <w:r w:rsidRPr="00C44EE6">
              <w:rPr>
                <w:sz w:val="24"/>
                <w:szCs w:val="24"/>
              </w:rPr>
              <w:t xml:space="preserve"> </w:t>
            </w:r>
            <w:r w:rsidRPr="00C44EE6">
              <w:rPr>
                <w:sz w:val="24"/>
                <w:szCs w:val="24"/>
                <w:lang w:val="ky-KG"/>
              </w:rPr>
              <w:t>абалы</w:t>
            </w:r>
            <w:r w:rsidRPr="00C44EE6">
              <w:rPr>
                <w:sz w:val="24"/>
                <w:szCs w:val="24"/>
              </w:rPr>
              <w:t xml:space="preserve"> 20</w:t>
            </w:r>
            <w:r w:rsidRPr="00C44EE6">
              <w:rPr>
                <w:sz w:val="24"/>
                <w:szCs w:val="24"/>
                <w:lang w:val="ky-KG"/>
              </w:rPr>
              <w:t>24</w:t>
            </w:r>
            <w:r w:rsidRPr="00C44EE6">
              <w:rPr>
                <w:sz w:val="24"/>
                <w:szCs w:val="24"/>
              </w:rPr>
              <w:t xml:space="preserve">-ж. </w:t>
            </w:r>
            <w:proofErr w:type="spellStart"/>
            <w:r w:rsidRPr="00C44EE6">
              <w:rPr>
                <w:sz w:val="24"/>
                <w:szCs w:val="24"/>
              </w:rPr>
              <w:t>аягына</w:t>
            </w:r>
            <w:proofErr w:type="spellEnd"/>
            <w:r w:rsidRPr="00C44EE6">
              <w:rPr>
                <w:sz w:val="24"/>
                <w:szCs w:val="24"/>
              </w:rPr>
              <w:t xml:space="preserve"> карата</w:t>
            </w:r>
            <w:r w:rsidRPr="00C44EE6">
              <w:rPr>
                <w:sz w:val="24"/>
                <w:szCs w:val="24"/>
                <w:lang w:val="ky-KG"/>
              </w:rPr>
              <w:t>, өткөн</w:t>
            </w:r>
            <w:r w:rsidRPr="00C44EE6">
              <w:rPr>
                <w:sz w:val="24"/>
                <w:szCs w:val="24"/>
              </w:rPr>
              <w:t xml:space="preserve"> </w:t>
            </w:r>
            <w:proofErr w:type="spellStart"/>
            <w:r w:rsidRPr="00C44EE6">
              <w:rPr>
                <w:sz w:val="24"/>
                <w:szCs w:val="24"/>
              </w:rPr>
              <w:t>жылдарга</w:t>
            </w:r>
            <w:proofErr w:type="spellEnd"/>
            <w:r w:rsidRPr="00C44EE6">
              <w:rPr>
                <w:sz w:val="24"/>
                <w:szCs w:val="24"/>
              </w:rPr>
              <w:t xml:space="preserve"> </w:t>
            </w:r>
            <w:proofErr w:type="spellStart"/>
            <w:r w:rsidRPr="00C44EE6">
              <w:rPr>
                <w:sz w:val="24"/>
                <w:szCs w:val="24"/>
              </w:rPr>
              <w:t>салыштырмалуу</w:t>
            </w:r>
            <w:proofErr w:type="spellEnd"/>
            <w:r w:rsidRPr="00C44EE6">
              <w:rPr>
                <w:sz w:val="24"/>
                <w:szCs w:val="24"/>
                <w:lang w:val="ky-KG"/>
              </w:rPr>
              <w:t>,</w:t>
            </w:r>
            <w:r w:rsidRPr="00C44EE6">
              <w:rPr>
                <w:sz w:val="24"/>
                <w:szCs w:val="24"/>
              </w:rPr>
              <w:t xml:space="preserve"> </w:t>
            </w:r>
            <w:proofErr w:type="spellStart"/>
            <w:r w:rsidRPr="00C44EE6">
              <w:rPr>
                <w:sz w:val="24"/>
                <w:szCs w:val="24"/>
              </w:rPr>
              <w:t>бардык</w:t>
            </w:r>
            <w:proofErr w:type="spellEnd"/>
            <w:r w:rsidRPr="00C44EE6">
              <w:rPr>
                <w:sz w:val="24"/>
                <w:szCs w:val="24"/>
              </w:rPr>
              <w:t xml:space="preserve"> к</w:t>
            </w:r>
            <w:r w:rsidRPr="00C44EE6">
              <w:rPr>
                <w:sz w:val="24"/>
                <w:szCs w:val="24"/>
                <w:lang w:val="ky-KG"/>
              </w:rPr>
              <w:t>ө</w:t>
            </w:r>
            <w:proofErr w:type="spellStart"/>
            <w:r w:rsidRPr="00C44EE6">
              <w:rPr>
                <w:sz w:val="24"/>
                <w:szCs w:val="24"/>
              </w:rPr>
              <w:t>рс</w:t>
            </w:r>
            <w:proofErr w:type="spellEnd"/>
            <w:r w:rsidRPr="00C44EE6">
              <w:rPr>
                <w:sz w:val="24"/>
                <w:szCs w:val="24"/>
                <w:lang w:val="ky-KG"/>
              </w:rPr>
              <w:t>ө</w:t>
            </w:r>
            <w:proofErr w:type="spellStart"/>
            <w:r w:rsidRPr="00C44EE6">
              <w:rPr>
                <w:sz w:val="24"/>
                <w:szCs w:val="24"/>
              </w:rPr>
              <w:t>тк</w:t>
            </w:r>
            <w:proofErr w:type="spellEnd"/>
            <w:r w:rsidRPr="00C44EE6">
              <w:rPr>
                <w:sz w:val="24"/>
                <w:szCs w:val="24"/>
                <w:lang w:val="ky-KG"/>
              </w:rPr>
              <w:t>үчтөр боюнча бир аз көбөйүп жана калктын миграциялык активдүүлүгүнүн жогорлошу менен мүнөздөлдү. Төрөлгөндөгү күтүлгөн жашоо узактыгы бир аз жогорулады. Өткөн жылдарга салыштырмалуу башка өлкөлөргө чыгып кеткен мигранттардын саны көбөйдү, бирок ички миграция ошол эле деңгээлде калууда.</w:t>
            </w:r>
          </w:p>
        </w:tc>
        <w:tc>
          <w:tcPr>
            <w:tcW w:w="4820" w:type="dxa"/>
          </w:tcPr>
          <w:p w14:paraId="6F497A99" w14:textId="74CD4AC4" w:rsidR="002E74FE" w:rsidRPr="00C44EE6" w:rsidRDefault="002E74FE" w:rsidP="002E74FE">
            <w:pPr>
              <w:ind w:firstLine="720"/>
              <w:jc w:val="both"/>
              <w:rPr>
                <w:sz w:val="24"/>
                <w:szCs w:val="24"/>
              </w:rPr>
            </w:pPr>
            <w:r w:rsidRPr="00C44EE6">
              <w:rPr>
                <w:sz w:val="24"/>
                <w:szCs w:val="24"/>
              </w:rPr>
              <w:t xml:space="preserve">Демографическая ситуация </w:t>
            </w:r>
            <w:r w:rsidRPr="00C44EE6">
              <w:rPr>
                <w:sz w:val="24"/>
                <w:szCs w:val="24"/>
                <w:lang w:val="ky-KG"/>
              </w:rPr>
              <w:t>Джалал-Абад</w:t>
            </w:r>
            <w:proofErr w:type="spellStart"/>
            <w:r w:rsidRPr="00C44EE6">
              <w:rPr>
                <w:sz w:val="24"/>
                <w:szCs w:val="24"/>
              </w:rPr>
              <w:t>ской</w:t>
            </w:r>
            <w:proofErr w:type="spellEnd"/>
            <w:r w:rsidRPr="00C44EE6">
              <w:rPr>
                <w:sz w:val="24"/>
                <w:szCs w:val="24"/>
              </w:rPr>
              <w:t xml:space="preserve"> области в конце 20</w:t>
            </w:r>
            <w:r w:rsidRPr="00C44EE6">
              <w:rPr>
                <w:sz w:val="24"/>
                <w:szCs w:val="24"/>
                <w:lang w:val="ky-KG"/>
              </w:rPr>
              <w:t>24</w:t>
            </w:r>
            <w:r w:rsidRPr="00C44EE6">
              <w:rPr>
                <w:sz w:val="24"/>
                <w:szCs w:val="24"/>
              </w:rPr>
              <w:t xml:space="preserve"> года по сравнению с предыдущими годами характеризовалась незначительными у</w:t>
            </w:r>
            <w:r w:rsidRPr="00C44EE6">
              <w:rPr>
                <w:sz w:val="24"/>
                <w:szCs w:val="24"/>
                <w:lang w:val="ky-KG"/>
              </w:rPr>
              <w:t>величен</w:t>
            </w:r>
            <w:proofErr w:type="spellStart"/>
            <w:r w:rsidRPr="00C44EE6">
              <w:rPr>
                <w:sz w:val="24"/>
                <w:szCs w:val="24"/>
              </w:rPr>
              <w:t>иями</w:t>
            </w:r>
            <w:proofErr w:type="spellEnd"/>
            <w:r w:rsidRPr="00C44EE6">
              <w:rPr>
                <w:sz w:val="24"/>
                <w:szCs w:val="24"/>
              </w:rPr>
              <w:t xml:space="preserve"> всех показателей и </w:t>
            </w:r>
            <w:r w:rsidRPr="00C44EE6">
              <w:rPr>
                <w:sz w:val="24"/>
                <w:szCs w:val="24"/>
                <w:lang w:val="ky-KG"/>
              </w:rPr>
              <w:t xml:space="preserve">ростом </w:t>
            </w:r>
            <w:r w:rsidRPr="00C44EE6">
              <w:rPr>
                <w:sz w:val="24"/>
                <w:szCs w:val="24"/>
              </w:rPr>
              <w:t>миграционной активности населения. Немного увеличилась продолжительность жизни при рождении. По сравнению с предыдущими годами у</w:t>
            </w:r>
            <w:r w:rsidRPr="00C44EE6">
              <w:rPr>
                <w:sz w:val="24"/>
                <w:szCs w:val="24"/>
                <w:lang w:val="ky-KG"/>
              </w:rPr>
              <w:t>велич</w:t>
            </w:r>
            <w:proofErr w:type="spellStart"/>
            <w:r w:rsidRPr="00C44EE6">
              <w:rPr>
                <w:sz w:val="24"/>
                <w:szCs w:val="24"/>
              </w:rPr>
              <w:t>илось</w:t>
            </w:r>
            <w:proofErr w:type="spellEnd"/>
            <w:r w:rsidRPr="00C44EE6">
              <w:rPr>
                <w:sz w:val="24"/>
                <w:szCs w:val="24"/>
              </w:rPr>
              <w:t xml:space="preserve"> число </w:t>
            </w:r>
            <w:proofErr w:type="gramStart"/>
            <w:r w:rsidRPr="00C44EE6">
              <w:rPr>
                <w:sz w:val="24"/>
                <w:szCs w:val="24"/>
              </w:rPr>
              <w:t>мигрантов</w:t>
            </w:r>
            <w:proofErr w:type="gramEnd"/>
            <w:r w:rsidRPr="00C44EE6">
              <w:rPr>
                <w:sz w:val="24"/>
                <w:szCs w:val="24"/>
              </w:rPr>
              <w:t xml:space="preserve"> выехавши</w:t>
            </w:r>
            <w:r w:rsidRPr="00C44EE6">
              <w:rPr>
                <w:sz w:val="24"/>
                <w:szCs w:val="24"/>
                <w:lang w:val="ky-KG"/>
              </w:rPr>
              <w:t>х</w:t>
            </w:r>
            <w:r w:rsidRPr="00C44EE6">
              <w:rPr>
                <w:sz w:val="24"/>
                <w:szCs w:val="24"/>
              </w:rPr>
              <w:t xml:space="preserve"> в другие страны, но внутренняя миграция остается на том же уровне.</w:t>
            </w:r>
          </w:p>
        </w:tc>
      </w:tr>
      <w:tr w:rsidR="002E74FE" w:rsidRPr="00ED6F2F" w14:paraId="5F235AF6" w14:textId="77777777" w:rsidTr="0044137F">
        <w:tc>
          <w:tcPr>
            <w:tcW w:w="4677" w:type="dxa"/>
          </w:tcPr>
          <w:p w14:paraId="72F7CA74" w14:textId="0BBCDCA2" w:rsidR="002E74FE" w:rsidRPr="00C44EE6" w:rsidRDefault="002E74FE" w:rsidP="002E74FE">
            <w:pPr>
              <w:pStyle w:val="a8"/>
              <w:ind w:left="0" w:firstLine="601"/>
              <w:jc w:val="both"/>
              <w:rPr>
                <w:sz w:val="24"/>
                <w:szCs w:val="24"/>
                <w:lang w:val="ky-KG"/>
              </w:rPr>
            </w:pPr>
            <w:r w:rsidRPr="00C44EE6">
              <w:rPr>
                <w:sz w:val="24"/>
                <w:szCs w:val="24"/>
                <w:lang w:val="ky-KG"/>
              </w:rPr>
              <w:t>Жалпысынан, биздин облуста демографиялык абал ар түрдүү болууда.</w:t>
            </w:r>
          </w:p>
        </w:tc>
        <w:tc>
          <w:tcPr>
            <w:tcW w:w="4820" w:type="dxa"/>
          </w:tcPr>
          <w:p w14:paraId="271EAEC4" w14:textId="3E9442B8" w:rsidR="002E74FE" w:rsidRPr="00C44EE6" w:rsidRDefault="002E74FE" w:rsidP="002E74FE">
            <w:pPr>
              <w:pStyle w:val="a8"/>
              <w:ind w:left="0" w:firstLine="720"/>
              <w:jc w:val="both"/>
              <w:rPr>
                <w:sz w:val="24"/>
                <w:szCs w:val="24"/>
              </w:rPr>
            </w:pPr>
            <w:r w:rsidRPr="00C44EE6">
              <w:rPr>
                <w:sz w:val="24"/>
                <w:szCs w:val="24"/>
              </w:rPr>
              <w:t>В целом, демографическая ситуация в нашей области очень разнообразна.</w:t>
            </w:r>
          </w:p>
        </w:tc>
      </w:tr>
      <w:tr w:rsidR="002E74FE" w:rsidRPr="00947ABD" w14:paraId="7EDA53DB" w14:textId="77777777" w:rsidTr="0044137F">
        <w:tc>
          <w:tcPr>
            <w:tcW w:w="4677" w:type="dxa"/>
          </w:tcPr>
          <w:p w14:paraId="4097E76D" w14:textId="235D5BCA" w:rsidR="002E74FE" w:rsidRPr="00C44EE6" w:rsidRDefault="002E74FE" w:rsidP="002E74FE">
            <w:pPr>
              <w:jc w:val="both"/>
              <w:rPr>
                <w:b/>
                <w:sz w:val="24"/>
                <w:lang w:val="ky-KG"/>
              </w:rPr>
            </w:pPr>
            <w:r w:rsidRPr="00C44EE6">
              <w:rPr>
                <w:b/>
                <w:sz w:val="24"/>
                <w:lang w:val="ky-KG"/>
              </w:rPr>
              <w:t xml:space="preserve">Саламаттыкты сактоо. </w:t>
            </w:r>
            <w:r w:rsidRPr="00C44EE6">
              <w:rPr>
                <w:sz w:val="24"/>
                <w:lang w:val="ky-KG"/>
              </w:rPr>
              <w:t>Жалал-Абад  облусунда медициналык-санитардык жардам көрсөтүү боюнча 3</w:t>
            </w:r>
            <w:r w:rsidRPr="00C44EE6">
              <w:rPr>
                <w:sz w:val="24"/>
              </w:rPr>
              <w:t>6</w:t>
            </w:r>
            <w:r w:rsidRPr="00C44EE6">
              <w:rPr>
                <w:sz w:val="24"/>
                <w:lang w:val="ky-KG"/>
              </w:rPr>
              <w:t xml:space="preserve"> оорукана мекемелер иштеп жатат. 219 фельдшердик-акушердик пунктар, 2 үй-бүлөлүк медицина борбору, 29 үй-бүлөлүк дарыгерлердин тобу.</w:t>
            </w:r>
          </w:p>
        </w:tc>
        <w:tc>
          <w:tcPr>
            <w:tcW w:w="4820" w:type="dxa"/>
          </w:tcPr>
          <w:p w14:paraId="1E961618" w14:textId="45703875" w:rsidR="002E74FE" w:rsidRPr="00C44EE6" w:rsidRDefault="002E74FE" w:rsidP="002E74FE">
            <w:pPr>
              <w:jc w:val="both"/>
              <w:rPr>
                <w:b/>
                <w:i/>
                <w:sz w:val="24"/>
                <w:lang w:val="ky-KG"/>
              </w:rPr>
            </w:pPr>
            <w:r w:rsidRPr="00C44EE6">
              <w:rPr>
                <w:b/>
                <w:i/>
                <w:sz w:val="24"/>
              </w:rPr>
              <w:t>Здравоохранение.</w:t>
            </w:r>
            <w:r w:rsidRPr="00C44EE6">
              <w:rPr>
                <w:i/>
                <w:sz w:val="24"/>
              </w:rPr>
              <w:t xml:space="preserve"> Для оказания медико-санитарной помощи в</w:t>
            </w:r>
            <w:r w:rsidRPr="00C44EE6">
              <w:rPr>
                <w:i/>
                <w:sz w:val="24"/>
                <w:lang w:val="ky-KG"/>
              </w:rPr>
              <w:t xml:space="preserve"> Джалал-Абадская</w:t>
            </w:r>
            <w:r w:rsidRPr="00C44EE6">
              <w:rPr>
                <w:i/>
                <w:sz w:val="24"/>
              </w:rPr>
              <w:t xml:space="preserve"> области функционирует </w:t>
            </w:r>
            <w:r w:rsidRPr="00C44EE6">
              <w:rPr>
                <w:i/>
                <w:sz w:val="24"/>
                <w:lang w:val="ky-KG"/>
              </w:rPr>
              <w:t>3</w:t>
            </w:r>
            <w:r w:rsidRPr="00C44EE6">
              <w:rPr>
                <w:i/>
                <w:sz w:val="24"/>
              </w:rPr>
              <w:t xml:space="preserve">6 больничных учреждений, </w:t>
            </w:r>
            <w:r w:rsidRPr="00C44EE6">
              <w:rPr>
                <w:i/>
                <w:sz w:val="24"/>
                <w:lang w:val="ky-KG"/>
              </w:rPr>
              <w:t>219</w:t>
            </w:r>
            <w:r w:rsidRPr="00C44EE6">
              <w:rPr>
                <w:i/>
                <w:sz w:val="24"/>
              </w:rPr>
              <w:t xml:space="preserve"> фельдшерско-акушерских пунктов, 2 центра семейной медицины, 29 группы семейных врачей.</w:t>
            </w:r>
          </w:p>
        </w:tc>
      </w:tr>
      <w:tr w:rsidR="00C44EE6" w:rsidRPr="00C44EE6" w14:paraId="5F275ACC" w14:textId="77777777" w:rsidTr="0044137F">
        <w:tc>
          <w:tcPr>
            <w:tcW w:w="4677" w:type="dxa"/>
          </w:tcPr>
          <w:p w14:paraId="35FE7D00" w14:textId="72401BA2" w:rsidR="002E74FE" w:rsidRPr="00C44EE6" w:rsidRDefault="002E74FE" w:rsidP="002E74FE">
            <w:pPr>
              <w:jc w:val="both"/>
              <w:rPr>
                <w:b/>
                <w:sz w:val="24"/>
              </w:rPr>
            </w:pPr>
            <w:r w:rsidRPr="00C44EE6">
              <w:rPr>
                <w:sz w:val="24"/>
              </w:rPr>
              <w:t>20</w:t>
            </w:r>
            <w:r w:rsidRPr="00C44EE6">
              <w:rPr>
                <w:sz w:val="24"/>
                <w:lang w:val="ky-KG"/>
              </w:rPr>
              <w:t xml:space="preserve">24-жылда оорукананын койкалар-ынын саны 3952 түзүп, </w:t>
            </w:r>
            <w:r w:rsidRPr="00C44EE6">
              <w:rPr>
                <w:sz w:val="24"/>
              </w:rPr>
              <w:t>2023</w:t>
            </w:r>
            <w:r w:rsidRPr="00C44EE6">
              <w:rPr>
                <w:sz w:val="24"/>
                <w:lang w:val="ky-KG"/>
              </w:rPr>
              <w:t>-жылга салыштырганда</w:t>
            </w:r>
            <w:r w:rsidRPr="00C44EE6">
              <w:rPr>
                <w:sz w:val="24"/>
              </w:rPr>
              <w:t xml:space="preserve"> </w:t>
            </w:r>
            <w:proofErr w:type="gramStart"/>
            <w:r w:rsidRPr="00C44EE6">
              <w:rPr>
                <w:sz w:val="24"/>
              </w:rPr>
              <w:t xml:space="preserve">59 </w:t>
            </w:r>
            <w:r w:rsidRPr="00C44EE6">
              <w:rPr>
                <w:sz w:val="24"/>
                <w:lang w:val="ky-KG"/>
              </w:rPr>
              <w:t xml:space="preserve"> койкага</w:t>
            </w:r>
            <w:proofErr w:type="gramEnd"/>
            <w:r w:rsidRPr="00C44EE6">
              <w:rPr>
                <w:sz w:val="24"/>
                <w:lang w:val="ky-KG"/>
              </w:rPr>
              <w:t xml:space="preserve"> азайган.</w:t>
            </w:r>
          </w:p>
        </w:tc>
        <w:tc>
          <w:tcPr>
            <w:tcW w:w="4820" w:type="dxa"/>
          </w:tcPr>
          <w:p w14:paraId="7F0E3580" w14:textId="1CBC43CF" w:rsidR="002E74FE" w:rsidRPr="00C44EE6" w:rsidRDefault="002E74FE" w:rsidP="002E74FE">
            <w:pPr>
              <w:jc w:val="both"/>
              <w:rPr>
                <w:b/>
                <w:i/>
                <w:sz w:val="24"/>
                <w:lang w:val="ky-KG"/>
              </w:rPr>
            </w:pPr>
            <w:r w:rsidRPr="00C44EE6">
              <w:rPr>
                <w:i/>
                <w:sz w:val="24"/>
              </w:rPr>
              <w:t>Число больничных коек в 20</w:t>
            </w:r>
            <w:r w:rsidRPr="00C44EE6">
              <w:rPr>
                <w:i/>
                <w:sz w:val="24"/>
                <w:lang w:val="ky-KG"/>
              </w:rPr>
              <w:t>24</w:t>
            </w:r>
            <w:r w:rsidRPr="00C44EE6">
              <w:rPr>
                <w:i/>
                <w:sz w:val="24"/>
              </w:rPr>
              <w:t xml:space="preserve"> году </w:t>
            </w:r>
            <w:proofErr w:type="gramStart"/>
            <w:r w:rsidRPr="00C44EE6">
              <w:rPr>
                <w:i/>
                <w:sz w:val="24"/>
              </w:rPr>
              <w:t>составило  3952</w:t>
            </w:r>
            <w:proofErr w:type="gramEnd"/>
            <w:r w:rsidRPr="00C44EE6">
              <w:rPr>
                <w:i/>
                <w:sz w:val="24"/>
              </w:rPr>
              <w:t xml:space="preserve"> и по сравнению с 20</w:t>
            </w:r>
            <w:r w:rsidRPr="00C44EE6">
              <w:rPr>
                <w:i/>
                <w:sz w:val="24"/>
                <w:lang w:val="ky-KG"/>
              </w:rPr>
              <w:t>23</w:t>
            </w:r>
            <w:r w:rsidRPr="00C44EE6">
              <w:rPr>
                <w:i/>
                <w:sz w:val="24"/>
              </w:rPr>
              <w:t xml:space="preserve"> годом </w:t>
            </w:r>
            <w:r w:rsidRPr="00C44EE6">
              <w:rPr>
                <w:i/>
                <w:sz w:val="24"/>
                <w:lang w:val="ky-KG"/>
              </w:rPr>
              <w:t>на 59 койку</w:t>
            </w:r>
            <w:r w:rsidRPr="00C44EE6">
              <w:rPr>
                <w:i/>
                <w:sz w:val="24"/>
              </w:rPr>
              <w:t xml:space="preserve"> у</w:t>
            </w:r>
            <w:r w:rsidRPr="00C44EE6">
              <w:rPr>
                <w:i/>
                <w:sz w:val="24"/>
                <w:lang w:val="ky-KG"/>
              </w:rPr>
              <w:t>меншилас</w:t>
            </w:r>
            <w:r w:rsidRPr="00C44EE6">
              <w:rPr>
                <w:i/>
                <w:sz w:val="24"/>
              </w:rPr>
              <w:t>ь.</w:t>
            </w:r>
          </w:p>
        </w:tc>
      </w:tr>
      <w:tr w:rsidR="00C44EE6" w:rsidRPr="00C44EE6" w14:paraId="0885112E" w14:textId="77777777" w:rsidTr="0044137F">
        <w:tc>
          <w:tcPr>
            <w:tcW w:w="4677" w:type="dxa"/>
          </w:tcPr>
          <w:p w14:paraId="7EE2F099" w14:textId="2920BA2F" w:rsidR="002E74FE" w:rsidRPr="00C44EE6" w:rsidRDefault="002E74FE" w:rsidP="002E74FE">
            <w:pPr>
              <w:jc w:val="both"/>
              <w:rPr>
                <w:b/>
                <w:sz w:val="24"/>
                <w:lang w:val="ky-KG"/>
              </w:rPr>
            </w:pPr>
            <w:r w:rsidRPr="00C44EE6">
              <w:rPr>
                <w:sz w:val="24"/>
                <w:lang w:val="ky-KG"/>
              </w:rPr>
              <w:t>Жалал-Абад облусунда 2024-жылы оорулардын саны азайган: кан жана канды пайда кылуучу органдардын оорулары 16719 учур катталган, ал эми 20</w:t>
            </w:r>
            <w:r w:rsidRPr="00C44EE6">
              <w:rPr>
                <w:sz w:val="24"/>
              </w:rPr>
              <w:t>23</w:t>
            </w:r>
            <w:r w:rsidRPr="00C44EE6">
              <w:rPr>
                <w:sz w:val="24"/>
                <w:lang w:val="ky-KG"/>
              </w:rPr>
              <w:t>-жыл</w:t>
            </w:r>
            <w:r w:rsidRPr="00C44EE6">
              <w:rPr>
                <w:sz w:val="24"/>
              </w:rPr>
              <w:t>ы</w:t>
            </w:r>
            <w:r w:rsidRPr="00C44EE6">
              <w:rPr>
                <w:sz w:val="24"/>
                <w:lang w:val="ky-KG"/>
              </w:rPr>
              <w:t xml:space="preserve">    </w:t>
            </w:r>
            <w:r w:rsidRPr="00C44EE6">
              <w:rPr>
                <w:sz w:val="24"/>
              </w:rPr>
              <w:t xml:space="preserve">  3230</w:t>
            </w:r>
            <w:r w:rsidRPr="00C44EE6">
              <w:rPr>
                <w:sz w:val="24"/>
                <w:lang w:val="ky-KG"/>
              </w:rPr>
              <w:t xml:space="preserve"> учурга</w:t>
            </w:r>
            <w:r w:rsidRPr="00C44EE6">
              <w:rPr>
                <w:sz w:val="24"/>
              </w:rPr>
              <w:t xml:space="preserve"> </w:t>
            </w:r>
            <w:r w:rsidRPr="00C44EE6">
              <w:rPr>
                <w:sz w:val="24"/>
                <w:lang w:val="ky-KG"/>
              </w:rPr>
              <w:t xml:space="preserve">аз катталган. Эндокриндик системасынын оорулары, тамактануунун, зат алмашуунун бузулушу 1,2 пайызга көбөйгөн. Төрөлгөндөн кийинки перинаталдык мезгилде пайда болгон өзгөчө ооруулар 0,9 пайызга көбөйгөн, дем алуу органдарынын оорулары боюнча -0,8 пайызга азайган. </w:t>
            </w:r>
            <w:r w:rsidRPr="00C44EE6">
              <w:rPr>
                <w:rFonts w:ascii="Times New Roman CYR" w:hAnsi="Times New Roman CYR" w:cs="Times New Roman CYR"/>
                <w:sz w:val="24"/>
                <w:szCs w:val="24"/>
                <w:lang w:val="ky-KG"/>
              </w:rPr>
              <w:t>Кулак жана чыкый с</w:t>
            </w:r>
            <w:r w:rsidRPr="00C44EE6">
              <w:rPr>
                <w:sz w:val="24"/>
                <w:szCs w:val="24"/>
                <w:lang w:val="ky-KG"/>
              </w:rPr>
              <w:t>өө</w:t>
            </w:r>
            <w:r w:rsidRPr="00C44EE6">
              <w:rPr>
                <w:rFonts w:ascii="Times New Roman CYR" w:hAnsi="Times New Roman CYR" w:cs="Times New Roman CYR"/>
                <w:sz w:val="24"/>
                <w:szCs w:val="24"/>
                <w:lang w:val="ky-KG"/>
              </w:rPr>
              <w:t>г</w:t>
            </w:r>
            <w:r w:rsidRPr="00C44EE6">
              <w:rPr>
                <w:sz w:val="24"/>
                <w:szCs w:val="24"/>
                <w:lang w:val="ky-KG"/>
              </w:rPr>
              <w:t>ү</w:t>
            </w:r>
            <w:r w:rsidRPr="00C44EE6">
              <w:rPr>
                <w:rFonts w:ascii="Times New Roman CYR" w:hAnsi="Times New Roman CYR" w:cs="Times New Roman CYR"/>
                <w:sz w:val="24"/>
                <w:szCs w:val="24"/>
                <w:lang w:val="ky-KG"/>
              </w:rPr>
              <w:t>н</w:t>
            </w:r>
            <w:r w:rsidRPr="00C44EE6">
              <w:rPr>
                <w:sz w:val="24"/>
                <w:szCs w:val="24"/>
                <w:lang w:val="ky-KG"/>
              </w:rPr>
              <w:t>ү</w:t>
            </w:r>
            <w:r w:rsidRPr="00C44EE6">
              <w:rPr>
                <w:rFonts w:ascii="Times New Roman CYR" w:hAnsi="Times New Roman CYR" w:cs="Times New Roman CYR"/>
                <w:sz w:val="24"/>
                <w:szCs w:val="24"/>
                <w:lang w:val="ky-KG"/>
              </w:rPr>
              <w:t>н ооруулары</w:t>
            </w:r>
            <w:r w:rsidRPr="00C44EE6">
              <w:rPr>
                <w:sz w:val="24"/>
                <w:lang w:val="ky-KG"/>
              </w:rPr>
              <w:t xml:space="preserve"> -0,9  пайызга азайган. Көздүн жана башка оорулары  18243 учур катталып, өткөн жылга караганда 1720 учурга азайган, теринин жана тери алдындагы клетчатканын ооруулары 15183 учур катталып, былтыркыга салыштырмалуу 2083 учурга азайгандыгын билдирет. Дем алуу органдарынын ооруулары 87309 же 17888 учурга азайды деп эсептелет. Акыркы төрт жылдын ичинде кош бойлуулук, төрөт жана төрөттөн кийинки мезгил өтүшүп кетүүдөгү оорулар көбөйүп келет, ал эми 2023-жылга салыштырмалуу, 2024-жылы  174 учурга  азайгандыгы байкалган.</w:t>
            </w:r>
          </w:p>
        </w:tc>
        <w:tc>
          <w:tcPr>
            <w:tcW w:w="4820" w:type="dxa"/>
          </w:tcPr>
          <w:p w14:paraId="633522CD" w14:textId="040755D9" w:rsidR="002E74FE" w:rsidRPr="00C44EE6" w:rsidRDefault="002E74FE" w:rsidP="002E74FE">
            <w:pPr>
              <w:jc w:val="both"/>
              <w:rPr>
                <w:b/>
                <w:i/>
                <w:sz w:val="24"/>
                <w:lang w:val="ky-KG"/>
              </w:rPr>
            </w:pPr>
            <w:r w:rsidRPr="00C44EE6">
              <w:rPr>
                <w:i/>
                <w:sz w:val="24"/>
              </w:rPr>
              <w:t>В области у</w:t>
            </w:r>
            <w:r w:rsidRPr="00C44EE6">
              <w:rPr>
                <w:i/>
                <w:sz w:val="24"/>
                <w:lang w:val="ky-KG"/>
              </w:rPr>
              <w:t>меншилас</w:t>
            </w:r>
            <w:r w:rsidRPr="00C44EE6">
              <w:rPr>
                <w:i/>
                <w:sz w:val="24"/>
              </w:rPr>
              <w:t>ь число заболеваний в 2024 году: болезней крови и кроветворных органов зарегистрировано 16719</w:t>
            </w:r>
            <w:r w:rsidRPr="00C44EE6">
              <w:rPr>
                <w:i/>
                <w:sz w:val="24"/>
                <w:lang w:val="ky-KG"/>
              </w:rPr>
              <w:t xml:space="preserve"> </w:t>
            </w:r>
            <w:r w:rsidRPr="00C44EE6">
              <w:rPr>
                <w:i/>
                <w:sz w:val="24"/>
              </w:rPr>
              <w:t xml:space="preserve">случаев, что на 3230 случаев </w:t>
            </w:r>
            <w:r w:rsidRPr="00C44EE6">
              <w:rPr>
                <w:i/>
                <w:sz w:val="24"/>
                <w:lang w:val="ky-KG"/>
              </w:rPr>
              <w:t>менше</w:t>
            </w:r>
            <w:r w:rsidRPr="00C44EE6">
              <w:rPr>
                <w:i/>
                <w:sz w:val="24"/>
              </w:rPr>
              <w:t>, чем в 20</w:t>
            </w:r>
            <w:r w:rsidRPr="00C44EE6">
              <w:rPr>
                <w:i/>
                <w:sz w:val="24"/>
                <w:lang w:val="ky-KG"/>
              </w:rPr>
              <w:t>23</w:t>
            </w:r>
            <w:r w:rsidRPr="00C44EE6">
              <w:rPr>
                <w:i/>
                <w:sz w:val="24"/>
              </w:rPr>
              <w:t xml:space="preserve"> году</w:t>
            </w:r>
            <w:r w:rsidRPr="00C44EE6">
              <w:rPr>
                <w:i/>
                <w:sz w:val="24"/>
                <w:lang w:val="ky-KG"/>
              </w:rPr>
              <w:t>,</w:t>
            </w:r>
            <w:r w:rsidRPr="00C44EE6">
              <w:rPr>
                <w:i/>
                <w:sz w:val="24"/>
              </w:rPr>
              <w:t xml:space="preserve"> по болезням эндокринной системы, расстройства питания и нарушения обмена веществ – на </w:t>
            </w:r>
            <w:r w:rsidRPr="00C44EE6">
              <w:rPr>
                <w:i/>
                <w:sz w:val="24"/>
                <w:lang w:val="ky-KG"/>
              </w:rPr>
              <w:t>1,2</w:t>
            </w:r>
            <w:r w:rsidRPr="00C44EE6">
              <w:rPr>
                <w:i/>
                <w:sz w:val="24"/>
              </w:rPr>
              <w:t xml:space="preserve"> процентов </w:t>
            </w:r>
            <w:r w:rsidRPr="00C44EE6">
              <w:rPr>
                <w:i/>
                <w:sz w:val="24"/>
                <w:lang w:val="ky-KG"/>
              </w:rPr>
              <w:t xml:space="preserve">больше. Возросло </w:t>
            </w:r>
            <w:proofErr w:type="spellStart"/>
            <w:r w:rsidRPr="00C44EE6">
              <w:rPr>
                <w:i/>
                <w:sz w:val="24"/>
              </w:rPr>
              <w:t>заболевания</w:t>
            </w:r>
            <w:r w:rsidRPr="00C44EE6">
              <w:rPr>
                <w:i/>
                <w:sz w:val="24"/>
                <w:szCs w:val="24"/>
              </w:rPr>
              <w:t>по</w:t>
            </w:r>
            <w:proofErr w:type="spellEnd"/>
            <w:r w:rsidRPr="00C44EE6">
              <w:rPr>
                <w:i/>
                <w:sz w:val="24"/>
                <w:szCs w:val="24"/>
              </w:rPr>
              <w:t xml:space="preserve"> отдельным</w:t>
            </w:r>
            <w:r w:rsidRPr="00C44EE6">
              <w:rPr>
                <w:i/>
                <w:sz w:val="24"/>
              </w:rPr>
              <w:t xml:space="preserve"> состояниям, возникающим в перинатальном периоде на 0,9 процентов, болезни орган дыхания на -0,8 процентов </w:t>
            </w:r>
            <w:proofErr w:type="spellStart"/>
            <w:r w:rsidRPr="00C44EE6">
              <w:rPr>
                <w:i/>
                <w:sz w:val="24"/>
              </w:rPr>
              <w:t>менше</w:t>
            </w:r>
            <w:proofErr w:type="spellEnd"/>
            <w:r w:rsidRPr="00C44EE6">
              <w:rPr>
                <w:i/>
                <w:sz w:val="24"/>
              </w:rPr>
              <w:t>,</w:t>
            </w:r>
            <w:r w:rsidRPr="00C44EE6">
              <w:rPr>
                <w:i/>
                <w:sz w:val="24"/>
                <w:szCs w:val="24"/>
              </w:rPr>
              <w:t xml:space="preserve"> болезням</w:t>
            </w:r>
            <w:r w:rsidRPr="00C44EE6">
              <w:rPr>
                <w:i/>
                <w:sz w:val="24"/>
              </w:rPr>
              <w:t xml:space="preserve"> уха и сосцевидного отростка – в </w:t>
            </w:r>
            <w:r w:rsidRPr="00C44EE6">
              <w:rPr>
                <w:i/>
                <w:sz w:val="24"/>
                <w:lang w:val="ky-KG"/>
              </w:rPr>
              <w:t>-0,9</w:t>
            </w:r>
            <w:r w:rsidRPr="00C44EE6">
              <w:rPr>
                <w:i/>
                <w:sz w:val="24"/>
              </w:rPr>
              <w:t xml:space="preserve"> раза </w:t>
            </w:r>
            <w:r w:rsidRPr="00C44EE6">
              <w:rPr>
                <w:i/>
                <w:sz w:val="24"/>
                <w:lang w:val="ky-KG"/>
              </w:rPr>
              <w:t>менше,</w:t>
            </w:r>
            <w:r w:rsidRPr="00C44EE6">
              <w:rPr>
                <w:i/>
                <w:sz w:val="24"/>
              </w:rPr>
              <w:t>,болезней глаза и его придатков зарегистрировано 18243 случаев, что на 1720</w:t>
            </w:r>
            <w:r w:rsidRPr="00C44EE6">
              <w:rPr>
                <w:i/>
                <w:sz w:val="24"/>
                <w:lang w:val="ky-KG"/>
              </w:rPr>
              <w:t xml:space="preserve"> </w:t>
            </w:r>
            <w:r w:rsidRPr="00C44EE6">
              <w:rPr>
                <w:i/>
                <w:sz w:val="24"/>
              </w:rPr>
              <w:t xml:space="preserve"> случаев </w:t>
            </w:r>
            <w:proofErr w:type="spellStart"/>
            <w:r w:rsidRPr="00C44EE6">
              <w:rPr>
                <w:i/>
                <w:sz w:val="24"/>
              </w:rPr>
              <w:t>менше</w:t>
            </w:r>
            <w:proofErr w:type="spellEnd"/>
            <w:r w:rsidRPr="00C44EE6">
              <w:rPr>
                <w:i/>
                <w:sz w:val="24"/>
                <w:lang w:val="ky-KG"/>
              </w:rPr>
              <w:t>,</w:t>
            </w:r>
            <w:r w:rsidRPr="00C44EE6">
              <w:rPr>
                <w:i/>
                <w:sz w:val="24"/>
              </w:rPr>
              <w:t xml:space="preserve"> болезней кожи и подкожной клетчатки зарегистрировано 15183 случаев, что на 2083 случая </w:t>
            </w:r>
            <w:r w:rsidRPr="00C44EE6">
              <w:rPr>
                <w:i/>
                <w:sz w:val="24"/>
                <w:lang w:val="ky-KG"/>
              </w:rPr>
              <w:t>меньше. П</w:t>
            </w:r>
            <w:r w:rsidRPr="00C44EE6">
              <w:rPr>
                <w:i/>
                <w:sz w:val="24"/>
              </w:rPr>
              <w:t>о болезням органов дыхания 87309</w:t>
            </w:r>
            <w:r w:rsidRPr="00C44EE6">
              <w:rPr>
                <w:i/>
                <w:sz w:val="24"/>
                <w:lang w:val="ky-KG"/>
              </w:rPr>
              <w:t xml:space="preserve"> на 17888 случаев меньше, чем прошлом году. </w:t>
            </w:r>
            <w:r w:rsidRPr="00C44EE6">
              <w:rPr>
                <w:i/>
                <w:sz w:val="24"/>
              </w:rPr>
              <w:t xml:space="preserve">За последние </w:t>
            </w:r>
            <w:proofErr w:type="gramStart"/>
            <w:r w:rsidRPr="00C44EE6">
              <w:rPr>
                <w:i/>
                <w:sz w:val="24"/>
                <w:lang w:val="ky-KG"/>
              </w:rPr>
              <w:t xml:space="preserve">четьри </w:t>
            </w:r>
            <w:r w:rsidRPr="00C44EE6">
              <w:rPr>
                <w:i/>
                <w:sz w:val="24"/>
              </w:rPr>
              <w:t xml:space="preserve"> лет</w:t>
            </w:r>
            <w:proofErr w:type="gramEnd"/>
            <w:r w:rsidRPr="00C44EE6">
              <w:rPr>
                <w:i/>
                <w:sz w:val="24"/>
              </w:rPr>
              <w:t xml:space="preserve"> </w:t>
            </w:r>
            <w:r w:rsidRPr="00C44EE6">
              <w:rPr>
                <w:i/>
                <w:sz w:val="24"/>
                <w:lang w:val="ky-KG"/>
              </w:rPr>
              <w:t>увеличилас</w:t>
            </w:r>
            <w:r w:rsidRPr="00C44EE6">
              <w:rPr>
                <w:i/>
                <w:sz w:val="24"/>
              </w:rPr>
              <w:t xml:space="preserve"> число заболеваний по осложнениям беременности родов послеродового и периода</w:t>
            </w:r>
            <w:r w:rsidRPr="00C44EE6">
              <w:rPr>
                <w:i/>
                <w:sz w:val="24"/>
                <w:lang w:val="ky-KG"/>
              </w:rPr>
              <w:t>.</w:t>
            </w:r>
            <w:r w:rsidRPr="00C44EE6">
              <w:rPr>
                <w:i/>
                <w:sz w:val="24"/>
              </w:rPr>
              <w:t xml:space="preserve"> 20</w:t>
            </w:r>
            <w:r w:rsidRPr="00C44EE6">
              <w:rPr>
                <w:i/>
                <w:sz w:val="24"/>
                <w:lang w:val="ky-KG"/>
              </w:rPr>
              <w:t>23</w:t>
            </w:r>
            <w:r w:rsidRPr="00C44EE6">
              <w:rPr>
                <w:i/>
                <w:sz w:val="24"/>
              </w:rPr>
              <w:t xml:space="preserve"> году по сравнению с 20</w:t>
            </w:r>
            <w:r w:rsidRPr="00C44EE6">
              <w:rPr>
                <w:i/>
                <w:sz w:val="24"/>
                <w:lang w:val="ky-KG"/>
              </w:rPr>
              <w:t>24</w:t>
            </w:r>
            <w:r w:rsidRPr="00C44EE6">
              <w:rPr>
                <w:i/>
                <w:sz w:val="24"/>
              </w:rPr>
              <w:t xml:space="preserve"> годом 174</w:t>
            </w:r>
            <w:r w:rsidRPr="00C44EE6">
              <w:rPr>
                <w:i/>
                <w:sz w:val="24"/>
                <w:lang w:val="ky-KG"/>
              </w:rPr>
              <w:t xml:space="preserve"> случаев меньше.</w:t>
            </w:r>
          </w:p>
        </w:tc>
      </w:tr>
      <w:tr w:rsidR="00C44EE6" w:rsidRPr="00C44EE6" w14:paraId="3F12B5FD" w14:textId="77777777" w:rsidTr="0044137F">
        <w:tc>
          <w:tcPr>
            <w:tcW w:w="4677" w:type="dxa"/>
          </w:tcPr>
          <w:p w14:paraId="3F2B8E36" w14:textId="71D6A6BF" w:rsidR="002E74FE" w:rsidRPr="00C44EE6" w:rsidRDefault="002E74FE" w:rsidP="002E74FE">
            <w:pPr>
              <w:jc w:val="both"/>
              <w:rPr>
                <w:sz w:val="24"/>
                <w:lang w:val="ky-KG"/>
              </w:rPr>
            </w:pPr>
            <w:r w:rsidRPr="00C44EE6">
              <w:rPr>
                <w:b/>
                <w:sz w:val="24"/>
                <w:lang w:val="ky-KG"/>
              </w:rPr>
              <w:t xml:space="preserve">Мектепке чейинки билим берүүчү уюмдар. </w:t>
            </w:r>
            <w:r w:rsidRPr="00C44EE6">
              <w:rPr>
                <w:sz w:val="24"/>
                <w:lang w:val="ky-KG"/>
              </w:rPr>
              <w:t>Мектепке чейинки билим берүү мекемелери 1 жаштан 7 жашка чейинки жана андан жогорку курактагы балдарды тарбиялоону, окутууну, кароону, багууну жана ден соолугун камсыз кылат.</w:t>
            </w:r>
          </w:p>
        </w:tc>
        <w:tc>
          <w:tcPr>
            <w:tcW w:w="4820" w:type="dxa"/>
          </w:tcPr>
          <w:p w14:paraId="04FB7DB8" w14:textId="132AAEB4" w:rsidR="002E74FE" w:rsidRPr="00C44EE6" w:rsidRDefault="002E74FE" w:rsidP="002E74FE">
            <w:pPr>
              <w:jc w:val="both"/>
              <w:rPr>
                <w:i/>
                <w:sz w:val="24"/>
              </w:rPr>
            </w:pPr>
            <w:r w:rsidRPr="00C44EE6">
              <w:rPr>
                <w:b/>
                <w:i/>
                <w:sz w:val="24"/>
              </w:rPr>
              <w:t>Дошкольные учреждения.</w:t>
            </w:r>
            <w:r w:rsidRPr="00C44EE6">
              <w:rPr>
                <w:i/>
                <w:sz w:val="24"/>
              </w:rPr>
              <w:t xml:space="preserve"> Дошкольные образовательные учреждения обеспечивают воспитание, обучение, присмотр, уход и оздоровление детей от </w:t>
            </w:r>
            <w:r w:rsidRPr="00C44EE6">
              <w:rPr>
                <w:i/>
                <w:sz w:val="24"/>
                <w:lang w:val="ky-KG"/>
              </w:rPr>
              <w:t xml:space="preserve">1 </w:t>
            </w:r>
            <w:r w:rsidRPr="00C44EE6">
              <w:rPr>
                <w:i/>
                <w:sz w:val="24"/>
              </w:rPr>
              <w:t>года до 7 лет и старше.</w:t>
            </w:r>
          </w:p>
        </w:tc>
      </w:tr>
      <w:tr w:rsidR="00C44EE6" w:rsidRPr="00C44EE6" w14:paraId="21B1BE98" w14:textId="77777777" w:rsidTr="0044137F">
        <w:tc>
          <w:tcPr>
            <w:tcW w:w="4677" w:type="dxa"/>
          </w:tcPr>
          <w:p w14:paraId="28A09A40" w14:textId="52C7DC81" w:rsidR="002E74FE" w:rsidRPr="00C44EE6" w:rsidRDefault="002E74FE" w:rsidP="002E74FE">
            <w:pPr>
              <w:jc w:val="both"/>
              <w:rPr>
                <w:sz w:val="24"/>
                <w:lang w:val="ky-KG"/>
              </w:rPr>
            </w:pPr>
            <w:r w:rsidRPr="00C44EE6">
              <w:rPr>
                <w:sz w:val="24"/>
              </w:rPr>
              <w:t xml:space="preserve">2024-жылы </w:t>
            </w:r>
            <w:proofErr w:type="spellStart"/>
            <w:r w:rsidRPr="00C44EE6">
              <w:rPr>
                <w:sz w:val="24"/>
              </w:rPr>
              <w:t>облус</w:t>
            </w:r>
            <w:proofErr w:type="spellEnd"/>
            <w:r w:rsidRPr="00C44EE6">
              <w:rPr>
                <w:sz w:val="24"/>
              </w:rPr>
              <w:t xml:space="preserve"> </w:t>
            </w:r>
            <w:proofErr w:type="spellStart"/>
            <w:r w:rsidRPr="00C44EE6">
              <w:rPr>
                <w:sz w:val="24"/>
              </w:rPr>
              <w:t>боюнча</w:t>
            </w:r>
            <w:proofErr w:type="spellEnd"/>
            <w:r w:rsidRPr="00C44EE6">
              <w:rPr>
                <w:sz w:val="24"/>
              </w:rPr>
              <w:t xml:space="preserve"> </w:t>
            </w:r>
            <w:r w:rsidRPr="00C44EE6">
              <w:rPr>
                <w:sz w:val="24"/>
                <w:lang w:val="ky-KG"/>
              </w:rPr>
              <w:t>359</w:t>
            </w:r>
            <w:r w:rsidRPr="00C44EE6">
              <w:rPr>
                <w:sz w:val="24"/>
              </w:rPr>
              <w:t xml:space="preserve"> </w:t>
            </w:r>
            <w:proofErr w:type="spellStart"/>
            <w:r w:rsidRPr="00C44EE6">
              <w:rPr>
                <w:sz w:val="24"/>
              </w:rPr>
              <w:t>мектепке</w:t>
            </w:r>
            <w:proofErr w:type="spellEnd"/>
            <w:r w:rsidRPr="00C44EE6">
              <w:rPr>
                <w:sz w:val="24"/>
              </w:rPr>
              <w:t xml:space="preserve"> </w:t>
            </w:r>
            <w:proofErr w:type="spellStart"/>
            <w:r w:rsidRPr="00C44EE6">
              <w:rPr>
                <w:sz w:val="24"/>
              </w:rPr>
              <w:t>чейинки</w:t>
            </w:r>
            <w:proofErr w:type="spellEnd"/>
            <w:r w:rsidRPr="00C44EE6">
              <w:rPr>
                <w:sz w:val="24"/>
              </w:rPr>
              <w:t xml:space="preserve"> </w:t>
            </w:r>
            <w:proofErr w:type="spellStart"/>
            <w:r w:rsidRPr="00C44EE6">
              <w:rPr>
                <w:sz w:val="24"/>
              </w:rPr>
              <w:t>мекеме</w:t>
            </w:r>
            <w:proofErr w:type="spellEnd"/>
            <w:r w:rsidRPr="00C44EE6">
              <w:rPr>
                <w:sz w:val="24"/>
              </w:rPr>
              <w:t xml:space="preserve"> </w:t>
            </w:r>
            <w:proofErr w:type="spellStart"/>
            <w:r w:rsidRPr="00C44EE6">
              <w:rPr>
                <w:sz w:val="24"/>
              </w:rPr>
              <w:t>иштеп</w:t>
            </w:r>
            <w:proofErr w:type="spellEnd"/>
            <w:r w:rsidRPr="00C44EE6">
              <w:rPr>
                <w:sz w:val="24"/>
              </w:rPr>
              <w:t xml:space="preserve"> </w:t>
            </w:r>
            <w:proofErr w:type="spellStart"/>
            <w:r w:rsidRPr="00C44EE6">
              <w:rPr>
                <w:sz w:val="24"/>
              </w:rPr>
              <w:t>жатат</w:t>
            </w:r>
            <w:proofErr w:type="spellEnd"/>
            <w:r w:rsidRPr="00C44EE6">
              <w:rPr>
                <w:sz w:val="24"/>
              </w:rPr>
              <w:t xml:space="preserve">, </w:t>
            </w:r>
            <w:proofErr w:type="spellStart"/>
            <w:r w:rsidRPr="00C44EE6">
              <w:rPr>
                <w:sz w:val="24"/>
              </w:rPr>
              <w:t>анын</w:t>
            </w:r>
            <w:proofErr w:type="spellEnd"/>
            <w:r w:rsidRPr="00C44EE6">
              <w:rPr>
                <w:sz w:val="24"/>
              </w:rPr>
              <w:t xml:space="preserve"> </w:t>
            </w:r>
            <w:proofErr w:type="spellStart"/>
            <w:r w:rsidRPr="00C44EE6">
              <w:rPr>
                <w:sz w:val="24"/>
              </w:rPr>
              <w:t>ичинен</w:t>
            </w:r>
            <w:proofErr w:type="spellEnd"/>
            <w:r w:rsidRPr="00C44EE6">
              <w:rPr>
                <w:sz w:val="24"/>
              </w:rPr>
              <w:t xml:space="preserve"> </w:t>
            </w:r>
            <w:proofErr w:type="spellStart"/>
            <w:r w:rsidRPr="00C44EE6">
              <w:rPr>
                <w:sz w:val="24"/>
              </w:rPr>
              <w:t>шаар</w:t>
            </w:r>
            <w:proofErr w:type="spellEnd"/>
            <w:r w:rsidRPr="00C44EE6">
              <w:rPr>
                <w:sz w:val="24"/>
              </w:rPr>
              <w:t xml:space="preserve"> </w:t>
            </w:r>
            <w:proofErr w:type="spellStart"/>
            <w:r w:rsidRPr="00C44EE6">
              <w:rPr>
                <w:sz w:val="24"/>
              </w:rPr>
              <w:t>жергесинде</w:t>
            </w:r>
            <w:proofErr w:type="spellEnd"/>
            <w:r w:rsidRPr="00C44EE6">
              <w:rPr>
                <w:sz w:val="24"/>
              </w:rPr>
              <w:t xml:space="preserve"> 98</w:t>
            </w:r>
            <w:r w:rsidRPr="00C44EE6">
              <w:rPr>
                <w:sz w:val="24"/>
                <w:lang w:val="ky-KG"/>
              </w:rPr>
              <w:t xml:space="preserve"> </w:t>
            </w:r>
            <w:proofErr w:type="spellStart"/>
            <w:r w:rsidRPr="00C44EE6">
              <w:rPr>
                <w:sz w:val="24"/>
              </w:rPr>
              <w:t>мекеме</w:t>
            </w:r>
            <w:proofErr w:type="spellEnd"/>
            <w:r w:rsidRPr="00C44EE6">
              <w:rPr>
                <w:sz w:val="24"/>
              </w:rPr>
              <w:t xml:space="preserve">, </w:t>
            </w:r>
            <w:proofErr w:type="spellStart"/>
            <w:r w:rsidRPr="00C44EE6">
              <w:rPr>
                <w:sz w:val="24"/>
              </w:rPr>
              <w:t>айыл</w:t>
            </w:r>
            <w:proofErr w:type="spellEnd"/>
            <w:r w:rsidRPr="00C44EE6">
              <w:rPr>
                <w:sz w:val="24"/>
              </w:rPr>
              <w:t xml:space="preserve"> </w:t>
            </w:r>
            <w:proofErr w:type="spellStart"/>
            <w:r w:rsidRPr="00C44EE6">
              <w:rPr>
                <w:sz w:val="24"/>
              </w:rPr>
              <w:t>жеринде</w:t>
            </w:r>
            <w:proofErr w:type="spellEnd"/>
            <w:r w:rsidRPr="00C44EE6">
              <w:rPr>
                <w:sz w:val="24"/>
              </w:rPr>
              <w:t xml:space="preserve"> 261 (2020-жылы </w:t>
            </w:r>
            <w:r w:rsidRPr="00C44EE6">
              <w:rPr>
                <w:sz w:val="24"/>
                <w:lang w:val="ky-KG"/>
              </w:rPr>
              <w:t>303</w:t>
            </w:r>
            <w:r w:rsidRPr="00C44EE6">
              <w:rPr>
                <w:sz w:val="24"/>
              </w:rPr>
              <w:t xml:space="preserve"> </w:t>
            </w:r>
            <w:proofErr w:type="spellStart"/>
            <w:r w:rsidRPr="00C44EE6">
              <w:rPr>
                <w:sz w:val="24"/>
              </w:rPr>
              <w:t>мектепке</w:t>
            </w:r>
            <w:proofErr w:type="spellEnd"/>
            <w:r w:rsidRPr="00C44EE6">
              <w:rPr>
                <w:sz w:val="24"/>
              </w:rPr>
              <w:t xml:space="preserve"> </w:t>
            </w:r>
            <w:proofErr w:type="spellStart"/>
            <w:r w:rsidRPr="00C44EE6">
              <w:rPr>
                <w:sz w:val="24"/>
              </w:rPr>
              <w:t>чейинки</w:t>
            </w:r>
            <w:proofErr w:type="spellEnd"/>
            <w:r w:rsidRPr="00C44EE6">
              <w:rPr>
                <w:sz w:val="24"/>
              </w:rPr>
              <w:t xml:space="preserve"> </w:t>
            </w:r>
            <w:proofErr w:type="spellStart"/>
            <w:r w:rsidRPr="00C44EE6">
              <w:rPr>
                <w:sz w:val="24"/>
              </w:rPr>
              <w:t>мекеме</w:t>
            </w:r>
            <w:proofErr w:type="spellEnd"/>
            <w:r w:rsidRPr="00C44EE6">
              <w:rPr>
                <w:sz w:val="24"/>
              </w:rPr>
              <w:t xml:space="preserve"> </w:t>
            </w:r>
            <w:proofErr w:type="spellStart"/>
            <w:r w:rsidRPr="00C44EE6">
              <w:rPr>
                <w:sz w:val="24"/>
              </w:rPr>
              <w:t>болгон</w:t>
            </w:r>
            <w:proofErr w:type="spellEnd"/>
            <w:r w:rsidRPr="00C44EE6">
              <w:rPr>
                <w:sz w:val="24"/>
              </w:rPr>
              <w:t xml:space="preserve">). </w:t>
            </w:r>
            <w:proofErr w:type="spellStart"/>
            <w:r w:rsidRPr="00C44EE6">
              <w:rPr>
                <w:sz w:val="24"/>
              </w:rPr>
              <w:t>Өткөн</w:t>
            </w:r>
            <w:proofErr w:type="spellEnd"/>
            <w:r w:rsidRPr="00C44EE6">
              <w:rPr>
                <w:sz w:val="24"/>
              </w:rPr>
              <w:t xml:space="preserve"> </w:t>
            </w:r>
            <w:proofErr w:type="spellStart"/>
            <w:r w:rsidRPr="00C44EE6">
              <w:rPr>
                <w:sz w:val="24"/>
              </w:rPr>
              <w:t>жылга</w:t>
            </w:r>
            <w:proofErr w:type="spellEnd"/>
            <w:r w:rsidRPr="00C44EE6">
              <w:rPr>
                <w:sz w:val="24"/>
              </w:rPr>
              <w:t xml:space="preserve"> </w:t>
            </w:r>
            <w:proofErr w:type="spellStart"/>
            <w:r w:rsidRPr="00C44EE6">
              <w:rPr>
                <w:sz w:val="24"/>
              </w:rPr>
              <w:t>салыштырмалуу</w:t>
            </w:r>
            <w:proofErr w:type="spellEnd"/>
            <w:r w:rsidRPr="00C44EE6">
              <w:rPr>
                <w:sz w:val="24"/>
              </w:rPr>
              <w:t xml:space="preserve"> </w:t>
            </w:r>
            <w:proofErr w:type="spellStart"/>
            <w:r w:rsidRPr="00C44EE6">
              <w:rPr>
                <w:sz w:val="24"/>
              </w:rPr>
              <w:t>мектепке</w:t>
            </w:r>
            <w:proofErr w:type="spellEnd"/>
            <w:r w:rsidRPr="00C44EE6">
              <w:rPr>
                <w:sz w:val="24"/>
              </w:rPr>
              <w:t xml:space="preserve"> </w:t>
            </w:r>
            <w:proofErr w:type="spellStart"/>
            <w:r w:rsidRPr="00C44EE6">
              <w:rPr>
                <w:sz w:val="24"/>
              </w:rPr>
              <w:t>чейинки</w:t>
            </w:r>
            <w:proofErr w:type="spellEnd"/>
            <w:r w:rsidRPr="00C44EE6">
              <w:rPr>
                <w:sz w:val="24"/>
              </w:rPr>
              <w:t xml:space="preserve"> </w:t>
            </w:r>
            <w:proofErr w:type="spellStart"/>
            <w:r w:rsidRPr="00C44EE6">
              <w:rPr>
                <w:sz w:val="24"/>
              </w:rPr>
              <w:t>мекемелерге</w:t>
            </w:r>
            <w:proofErr w:type="spellEnd"/>
            <w:r w:rsidRPr="00C44EE6">
              <w:rPr>
                <w:sz w:val="24"/>
              </w:rPr>
              <w:t xml:space="preserve"> </w:t>
            </w:r>
            <w:proofErr w:type="spellStart"/>
            <w:r w:rsidRPr="00C44EE6">
              <w:rPr>
                <w:sz w:val="24"/>
              </w:rPr>
              <w:t>барган</w:t>
            </w:r>
            <w:proofErr w:type="spellEnd"/>
            <w:r w:rsidRPr="00C44EE6">
              <w:rPr>
                <w:sz w:val="24"/>
              </w:rPr>
              <w:t xml:space="preserve"> </w:t>
            </w:r>
            <w:proofErr w:type="spellStart"/>
            <w:r w:rsidRPr="00C44EE6">
              <w:rPr>
                <w:sz w:val="24"/>
              </w:rPr>
              <w:t>балдардын</w:t>
            </w:r>
            <w:proofErr w:type="spellEnd"/>
            <w:r w:rsidRPr="00C44EE6">
              <w:rPr>
                <w:sz w:val="24"/>
              </w:rPr>
              <w:t xml:space="preserve"> саны 7998</w:t>
            </w:r>
            <w:r w:rsidRPr="00C44EE6">
              <w:rPr>
                <w:sz w:val="24"/>
                <w:lang w:val="ky-KG"/>
              </w:rPr>
              <w:t xml:space="preserve"> бала</w:t>
            </w:r>
            <w:r w:rsidRPr="00C44EE6">
              <w:rPr>
                <w:sz w:val="24"/>
              </w:rPr>
              <w:t>га к</w:t>
            </w:r>
            <w:r w:rsidRPr="00C44EE6">
              <w:rPr>
                <w:sz w:val="24"/>
                <w:lang w:val="ky-KG"/>
              </w:rPr>
              <w:t>өбөйгөн</w:t>
            </w:r>
            <w:r w:rsidRPr="00C44EE6">
              <w:rPr>
                <w:sz w:val="24"/>
              </w:rPr>
              <w:t xml:space="preserve"> </w:t>
            </w:r>
            <w:proofErr w:type="spellStart"/>
            <w:r w:rsidRPr="00C44EE6">
              <w:rPr>
                <w:sz w:val="24"/>
              </w:rPr>
              <w:t>жана</w:t>
            </w:r>
            <w:proofErr w:type="spellEnd"/>
            <w:r w:rsidRPr="00C44EE6">
              <w:rPr>
                <w:sz w:val="24"/>
              </w:rPr>
              <w:t xml:space="preserve"> 20</w:t>
            </w:r>
            <w:r w:rsidRPr="00C44EE6">
              <w:rPr>
                <w:sz w:val="24"/>
                <w:lang w:val="ky-KG"/>
              </w:rPr>
              <w:t>24</w:t>
            </w:r>
            <w:r w:rsidRPr="00C44EE6">
              <w:rPr>
                <w:sz w:val="24"/>
              </w:rPr>
              <w:t>-</w:t>
            </w:r>
            <w:proofErr w:type="spellStart"/>
            <w:r w:rsidRPr="00C44EE6">
              <w:rPr>
                <w:sz w:val="24"/>
              </w:rPr>
              <w:t>жылы</w:t>
            </w:r>
            <w:proofErr w:type="spellEnd"/>
            <w:r w:rsidRPr="00C44EE6">
              <w:rPr>
                <w:sz w:val="24"/>
              </w:rPr>
              <w:t>-</w:t>
            </w:r>
            <w:r w:rsidRPr="00C44EE6">
              <w:rPr>
                <w:sz w:val="24"/>
                <w:lang w:val="ky-KG"/>
              </w:rPr>
              <w:t>46316</w:t>
            </w:r>
            <w:r w:rsidRPr="00C44EE6">
              <w:rPr>
                <w:sz w:val="24"/>
              </w:rPr>
              <w:t xml:space="preserve"> </w:t>
            </w:r>
            <w:proofErr w:type="spellStart"/>
            <w:r w:rsidRPr="00C44EE6">
              <w:rPr>
                <w:sz w:val="24"/>
              </w:rPr>
              <w:t>баланы</w:t>
            </w:r>
            <w:proofErr w:type="spellEnd"/>
            <w:r w:rsidRPr="00C44EE6">
              <w:rPr>
                <w:sz w:val="24"/>
              </w:rPr>
              <w:t xml:space="preserve"> </w:t>
            </w:r>
            <w:proofErr w:type="spellStart"/>
            <w:r w:rsidRPr="00C44EE6">
              <w:rPr>
                <w:sz w:val="24"/>
              </w:rPr>
              <w:t>түздү</w:t>
            </w:r>
            <w:proofErr w:type="spellEnd"/>
            <w:r w:rsidRPr="00C44EE6">
              <w:rPr>
                <w:sz w:val="24"/>
              </w:rPr>
              <w:t xml:space="preserve">. </w:t>
            </w:r>
            <w:proofErr w:type="spellStart"/>
            <w:r w:rsidRPr="00C44EE6">
              <w:rPr>
                <w:sz w:val="24"/>
              </w:rPr>
              <w:t>Акыркы</w:t>
            </w:r>
            <w:proofErr w:type="spellEnd"/>
            <w:r w:rsidRPr="00C44EE6">
              <w:rPr>
                <w:sz w:val="24"/>
              </w:rPr>
              <w:t xml:space="preserve"> </w:t>
            </w:r>
            <w:proofErr w:type="spellStart"/>
            <w:r w:rsidRPr="00C44EE6">
              <w:rPr>
                <w:sz w:val="24"/>
              </w:rPr>
              <w:t>беш</w:t>
            </w:r>
            <w:proofErr w:type="spellEnd"/>
            <w:r w:rsidRPr="00C44EE6">
              <w:rPr>
                <w:sz w:val="24"/>
              </w:rPr>
              <w:t xml:space="preserve"> </w:t>
            </w:r>
            <w:proofErr w:type="spellStart"/>
            <w:r w:rsidRPr="00C44EE6">
              <w:rPr>
                <w:sz w:val="24"/>
              </w:rPr>
              <w:t>жылда</w:t>
            </w:r>
            <w:proofErr w:type="spellEnd"/>
            <w:r w:rsidRPr="00C44EE6">
              <w:rPr>
                <w:sz w:val="24"/>
              </w:rPr>
              <w:t xml:space="preserve"> </w:t>
            </w:r>
            <w:proofErr w:type="spellStart"/>
            <w:r w:rsidRPr="00C44EE6">
              <w:rPr>
                <w:sz w:val="24"/>
              </w:rPr>
              <w:t>балдардын</w:t>
            </w:r>
            <w:proofErr w:type="spellEnd"/>
            <w:r w:rsidRPr="00C44EE6">
              <w:rPr>
                <w:sz w:val="24"/>
              </w:rPr>
              <w:t xml:space="preserve"> саны </w:t>
            </w:r>
            <w:r w:rsidRPr="00C44EE6">
              <w:rPr>
                <w:sz w:val="24"/>
                <w:lang w:val="ky-KG"/>
              </w:rPr>
              <w:t>12331 балаг</w:t>
            </w:r>
            <w:r w:rsidRPr="00C44EE6">
              <w:rPr>
                <w:sz w:val="24"/>
              </w:rPr>
              <w:t xml:space="preserve">а же </w:t>
            </w:r>
            <w:r w:rsidRPr="00C44EE6">
              <w:rPr>
                <w:sz w:val="24"/>
                <w:lang w:val="ky-KG"/>
              </w:rPr>
              <w:t>1,3</w:t>
            </w:r>
            <w:r w:rsidRPr="00C44EE6">
              <w:rPr>
                <w:sz w:val="24"/>
              </w:rPr>
              <w:t xml:space="preserve"> </w:t>
            </w:r>
            <w:proofErr w:type="spellStart"/>
            <w:r w:rsidRPr="00C44EE6">
              <w:rPr>
                <w:sz w:val="24"/>
              </w:rPr>
              <w:t>эсеге</w:t>
            </w:r>
            <w:proofErr w:type="spellEnd"/>
            <w:r w:rsidRPr="00C44EE6">
              <w:rPr>
                <w:sz w:val="24"/>
              </w:rPr>
              <w:t xml:space="preserve"> </w:t>
            </w:r>
            <w:proofErr w:type="spellStart"/>
            <w:r w:rsidRPr="00C44EE6">
              <w:rPr>
                <w:sz w:val="24"/>
              </w:rPr>
              <w:t>өскөн</w:t>
            </w:r>
            <w:proofErr w:type="spellEnd"/>
            <w:r w:rsidRPr="00C44EE6">
              <w:rPr>
                <w:sz w:val="24"/>
              </w:rPr>
              <w:t xml:space="preserve">. </w:t>
            </w:r>
            <w:proofErr w:type="spellStart"/>
            <w:r w:rsidRPr="00C44EE6">
              <w:rPr>
                <w:sz w:val="24"/>
              </w:rPr>
              <w:t>Мектепке</w:t>
            </w:r>
            <w:proofErr w:type="spellEnd"/>
            <w:r w:rsidRPr="00C44EE6">
              <w:rPr>
                <w:sz w:val="24"/>
              </w:rPr>
              <w:t xml:space="preserve"> </w:t>
            </w:r>
            <w:proofErr w:type="spellStart"/>
            <w:r w:rsidRPr="00C44EE6">
              <w:rPr>
                <w:sz w:val="24"/>
              </w:rPr>
              <w:t>чейинки</w:t>
            </w:r>
            <w:proofErr w:type="spellEnd"/>
            <w:r w:rsidRPr="00C44EE6">
              <w:rPr>
                <w:sz w:val="24"/>
              </w:rPr>
              <w:t xml:space="preserve"> </w:t>
            </w:r>
            <w:proofErr w:type="spellStart"/>
            <w:r w:rsidRPr="00C44EE6">
              <w:rPr>
                <w:sz w:val="24"/>
              </w:rPr>
              <w:t>мекемелердеги</w:t>
            </w:r>
            <w:proofErr w:type="spellEnd"/>
            <w:r w:rsidRPr="00C44EE6">
              <w:rPr>
                <w:sz w:val="24"/>
              </w:rPr>
              <w:t xml:space="preserve"> </w:t>
            </w:r>
            <w:proofErr w:type="spellStart"/>
            <w:r w:rsidRPr="00C44EE6">
              <w:rPr>
                <w:sz w:val="24"/>
              </w:rPr>
              <w:t>тарбиячылардын</w:t>
            </w:r>
            <w:proofErr w:type="spellEnd"/>
            <w:r w:rsidRPr="00C44EE6">
              <w:rPr>
                <w:sz w:val="24"/>
              </w:rPr>
              <w:t xml:space="preserve"> саны </w:t>
            </w:r>
            <w:r w:rsidRPr="00C44EE6">
              <w:rPr>
                <w:sz w:val="24"/>
                <w:lang w:val="ky-KG"/>
              </w:rPr>
              <w:t>2928</w:t>
            </w:r>
            <w:r w:rsidRPr="00C44EE6">
              <w:rPr>
                <w:sz w:val="24"/>
              </w:rPr>
              <w:t xml:space="preserve"> </w:t>
            </w:r>
            <w:proofErr w:type="spellStart"/>
            <w:r w:rsidRPr="00C44EE6">
              <w:rPr>
                <w:sz w:val="24"/>
              </w:rPr>
              <w:t>адамды</w:t>
            </w:r>
            <w:proofErr w:type="spellEnd"/>
            <w:r w:rsidRPr="00C44EE6">
              <w:rPr>
                <w:sz w:val="24"/>
              </w:rPr>
              <w:t xml:space="preserve"> </w:t>
            </w:r>
            <w:proofErr w:type="spellStart"/>
            <w:r w:rsidRPr="00C44EE6">
              <w:rPr>
                <w:sz w:val="24"/>
              </w:rPr>
              <w:t>түзөт</w:t>
            </w:r>
            <w:proofErr w:type="spellEnd"/>
            <w:r w:rsidRPr="00C44EE6">
              <w:rPr>
                <w:sz w:val="24"/>
              </w:rPr>
              <w:t xml:space="preserve">, </w:t>
            </w:r>
            <w:proofErr w:type="spellStart"/>
            <w:r w:rsidRPr="00C44EE6">
              <w:rPr>
                <w:sz w:val="24"/>
              </w:rPr>
              <w:t>бул</w:t>
            </w:r>
            <w:proofErr w:type="spellEnd"/>
            <w:r w:rsidRPr="00C44EE6">
              <w:rPr>
                <w:sz w:val="24"/>
              </w:rPr>
              <w:t xml:space="preserve"> 304 </w:t>
            </w:r>
            <w:proofErr w:type="spellStart"/>
            <w:r w:rsidRPr="00C44EE6">
              <w:rPr>
                <w:sz w:val="24"/>
              </w:rPr>
              <w:t>тарбиячыга</w:t>
            </w:r>
            <w:proofErr w:type="spellEnd"/>
            <w:r w:rsidRPr="00C44EE6">
              <w:rPr>
                <w:sz w:val="24"/>
              </w:rPr>
              <w:t xml:space="preserve"> 20</w:t>
            </w:r>
            <w:r w:rsidRPr="00C44EE6">
              <w:rPr>
                <w:sz w:val="24"/>
                <w:lang w:val="ky-KG"/>
              </w:rPr>
              <w:t>23</w:t>
            </w:r>
            <w:r w:rsidRPr="00C44EE6">
              <w:rPr>
                <w:sz w:val="24"/>
              </w:rPr>
              <w:t>-</w:t>
            </w:r>
            <w:proofErr w:type="spellStart"/>
            <w:r w:rsidRPr="00C44EE6">
              <w:rPr>
                <w:sz w:val="24"/>
              </w:rPr>
              <w:t>жылга</w:t>
            </w:r>
            <w:proofErr w:type="spellEnd"/>
            <w:r w:rsidRPr="00C44EE6">
              <w:rPr>
                <w:sz w:val="24"/>
              </w:rPr>
              <w:t xml:space="preserve"> </w:t>
            </w:r>
            <w:proofErr w:type="spellStart"/>
            <w:r w:rsidRPr="00C44EE6">
              <w:rPr>
                <w:sz w:val="24"/>
              </w:rPr>
              <w:t>караганда</w:t>
            </w:r>
            <w:proofErr w:type="spellEnd"/>
            <w:r w:rsidRPr="00C44EE6">
              <w:rPr>
                <w:sz w:val="24"/>
              </w:rPr>
              <w:t xml:space="preserve"> </w:t>
            </w:r>
            <w:r w:rsidRPr="00C44EE6">
              <w:rPr>
                <w:sz w:val="24"/>
                <w:lang w:val="ky-KG"/>
              </w:rPr>
              <w:t>көп</w:t>
            </w:r>
            <w:r w:rsidRPr="00C44EE6">
              <w:rPr>
                <w:sz w:val="24"/>
              </w:rPr>
              <w:t>.</w:t>
            </w:r>
          </w:p>
        </w:tc>
        <w:tc>
          <w:tcPr>
            <w:tcW w:w="4820" w:type="dxa"/>
          </w:tcPr>
          <w:p w14:paraId="344A4E7C" w14:textId="3DB36956" w:rsidR="002E74FE" w:rsidRPr="00C44EE6" w:rsidRDefault="002E74FE" w:rsidP="002E74FE">
            <w:pPr>
              <w:jc w:val="both"/>
              <w:rPr>
                <w:i/>
                <w:sz w:val="24"/>
              </w:rPr>
            </w:pPr>
            <w:r w:rsidRPr="00C44EE6">
              <w:rPr>
                <w:i/>
                <w:sz w:val="24"/>
              </w:rPr>
              <w:t>В 20</w:t>
            </w:r>
            <w:r w:rsidRPr="00C44EE6">
              <w:rPr>
                <w:i/>
                <w:sz w:val="24"/>
                <w:lang w:val="ky-KG"/>
              </w:rPr>
              <w:t>24</w:t>
            </w:r>
            <w:r w:rsidRPr="00C44EE6">
              <w:rPr>
                <w:i/>
                <w:sz w:val="24"/>
              </w:rPr>
              <w:t xml:space="preserve"> году по области функционирует </w:t>
            </w:r>
            <w:r w:rsidRPr="00C44EE6">
              <w:rPr>
                <w:i/>
                <w:sz w:val="24"/>
                <w:lang w:val="ky-KG"/>
              </w:rPr>
              <w:t>359</w:t>
            </w:r>
            <w:r w:rsidRPr="00C44EE6">
              <w:rPr>
                <w:i/>
                <w:sz w:val="24"/>
              </w:rPr>
              <w:t xml:space="preserve"> дошкольных учреждений, в том числе в городской местности</w:t>
            </w:r>
            <w:r w:rsidRPr="00C44EE6">
              <w:rPr>
                <w:i/>
                <w:sz w:val="24"/>
                <w:lang w:val="ky-KG"/>
              </w:rPr>
              <w:t xml:space="preserve"> </w:t>
            </w:r>
            <w:proofErr w:type="gramStart"/>
            <w:r w:rsidRPr="00C44EE6">
              <w:rPr>
                <w:i/>
                <w:sz w:val="24"/>
                <w:lang w:val="ky-KG"/>
              </w:rPr>
              <w:t>98</w:t>
            </w:r>
            <w:r w:rsidRPr="00C44EE6">
              <w:rPr>
                <w:i/>
                <w:sz w:val="24"/>
              </w:rPr>
              <w:t xml:space="preserve"> ,</w:t>
            </w:r>
            <w:proofErr w:type="gramEnd"/>
            <w:r w:rsidRPr="00C44EE6">
              <w:rPr>
                <w:i/>
                <w:sz w:val="24"/>
              </w:rPr>
              <w:t xml:space="preserve"> в сельской местности </w:t>
            </w:r>
            <w:r w:rsidRPr="00C44EE6">
              <w:rPr>
                <w:i/>
                <w:sz w:val="24"/>
                <w:lang w:val="ky-KG"/>
              </w:rPr>
              <w:t>261</w:t>
            </w:r>
            <w:r w:rsidRPr="00C44EE6">
              <w:rPr>
                <w:i/>
                <w:sz w:val="24"/>
              </w:rPr>
              <w:t xml:space="preserve"> (в 2020г. было </w:t>
            </w:r>
            <w:r w:rsidRPr="00C44EE6">
              <w:rPr>
                <w:i/>
                <w:sz w:val="24"/>
                <w:lang w:val="ky-KG"/>
              </w:rPr>
              <w:t>303</w:t>
            </w:r>
            <w:r w:rsidRPr="00C44EE6">
              <w:rPr>
                <w:i/>
                <w:sz w:val="24"/>
              </w:rPr>
              <w:t xml:space="preserve"> дошкольных учреждений). Численность детей, посещающих дошкольные учреждения по сравнению с прошлым </w:t>
            </w:r>
            <w:proofErr w:type="gramStart"/>
            <w:r w:rsidRPr="00C44EE6">
              <w:rPr>
                <w:i/>
                <w:sz w:val="24"/>
              </w:rPr>
              <w:t>годом  на</w:t>
            </w:r>
            <w:proofErr w:type="gramEnd"/>
            <w:r w:rsidRPr="00C44EE6">
              <w:rPr>
                <w:i/>
                <w:sz w:val="24"/>
              </w:rPr>
              <w:t xml:space="preserve"> 7998 человека </w:t>
            </w:r>
            <w:r w:rsidRPr="00C44EE6">
              <w:rPr>
                <w:i/>
                <w:sz w:val="24"/>
                <w:lang w:val="ky-KG"/>
              </w:rPr>
              <w:t>уменьшилас</w:t>
            </w:r>
            <w:r w:rsidRPr="00C44EE6">
              <w:rPr>
                <w:i/>
                <w:sz w:val="24"/>
              </w:rPr>
              <w:t>, в 20</w:t>
            </w:r>
            <w:r w:rsidRPr="00C44EE6">
              <w:rPr>
                <w:i/>
                <w:sz w:val="24"/>
                <w:lang w:val="ky-KG"/>
              </w:rPr>
              <w:t>24</w:t>
            </w:r>
            <w:r w:rsidRPr="00C44EE6">
              <w:rPr>
                <w:i/>
                <w:sz w:val="24"/>
              </w:rPr>
              <w:t xml:space="preserve">г. – 46316 детей. А за последние пять лет численность детей возросла на 12331 человек, или в </w:t>
            </w:r>
            <w:r w:rsidRPr="00C44EE6">
              <w:rPr>
                <w:i/>
                <w:sz w:val="24"/>
                <w:lang w:val="ky-KG"/>
              </w:rPr>
              <w:t>1,3</w:t>
            </w:r>
            <w:r w:rsidRPr="00C44EE6">
              <w:rPr>
                <w:i/>
                <w:sz w:val="24"/>
              </w:rPr>
              <w:t xml:space="preserve"> раза. Численность воспитателей в дошкольных учреждениях составляет </w:t>
            </w:r>
            <w:r w:rsidRPr="00C44EE6">
              <w:rPr>
                <w:i/>
                <w:sz w:val="24"/>
                <w:lang w:val="ky-KG"/>
              </w:rPr>
              <w:t>2928</w:t>
            </w:r>
            <w:r w:rsidRPr="00C44EE6">
              <w:rPr>
                <w:i/>
                <w:sz w:val="24"/>
              </w:rPr>
              <w:t xml:space="preserve"> человек, это на 304 воспитателей </w:t>
            </w:r>
            <w:r w:rsidRPr="00C44EE6">
              <w:rPr>
                <w:i/>
                <w:sz w:val="24"/>
                <w:lang w:val="ky-KG"/>
              </w:rPr>
              <w:t>больше</w:t>
            </w:r>
            <w:r w:rsidRPr="00C44EE6">
              <w:rPr>
                <w:i/>
                <w:sz w:val="24"/>
              </w:rPr>
              <w:t>, чем в 20</w:t>
            </w:r>
            <w:r w:rsidRPr="00C44EE6">
              <w:rPr>
                <w:i/>
                <w:sz w:val="24"/>
                <w:lang w:val="ky-KG"/>
              </w:rPr>
              <w:t>23</w:t>
            </w:r>
            <w:r w:rsidRPr="00C44EE6">
              <w:rPr>
                <w:i/>
                <w:sz w:val="24"/>
              </w:rPr>
              <w:t>г.</w:t>
            </w:r>
          </w:p>
        </w:tc>
      </w:tr>
      <w:tr w:rsidR="00C44EE6" w:rsidRPr="00C44EE6" w14:paraId="08EBCFC0" w14:textId="77777777" w:rsidTr="0044137F">
        <w:tc>
          <w:tcPr>
            <w:tcW w:w="4677" w:type="dxa"/>
          </w:tcPr>
          <w:p w14:paraId="12E5C6F5" w14:textId="6128818B" w:rsidR="002E74FE" w:rsidRPr="00C44EE6" w:rsidRDefault="002E74FE" w:rsidP="002E74FE">
            <w:pPr>
              <w:jc w:val="both"/>
              <w:rPr>
                <w:sz w:val="24"/>
              </w:rPr>
            </w:pPr>
            <w:r w:rsidRPr="00C44EE6">
              <w:rPr>
                <w:b/>
                <w:sz w:val="24"/>
                <w:lang w:val="ky-KG"/>
              </w:rPr>
              <w:t>2020-2024-жж. Мектепке чейинки билим берүүчү уюмдарга барган балдардын саны</w:t>
            </w:r>
          </w:p>
        </w:tc>
        <w:tc>
          <w:tcPr>
            <w:tcW w:w="4820" w:type="dxa"/>
          </w:tcPr>
          <w:p w14:paraId="140E7003" w14:textId="68648F2F" w:rsidR="002E74FE" w:rsidRPr="00C44EE6" w:rsidRDefault="002E74FE" w:rsidP="002E74FE">
            <w:pPr>
              <w:jc w:val="both"/>
              <w:rPr>
                <w:i/>
                <w:sz w:val="24"/>
              </w:rPr>
            </w:pPr>
            <w:r w:rsidRPr="00C44EE6">
              <w:rPr>
                <w:b/>
                <w:i/>
                <w:sz w:val="24"/>
              </w:rPr>
              <w:t>Численность детей посещающих дошкольных учреждений за 2020-20</w:t>
            </w:r>
            <w:r w:rsidRPr="00C44EE6">
              <w:rPr>
                <w:b/>
                <w:i/>
                <w:sz w:val="24"/>
                <w:lang w:val="ky-KG"/>
              </w:rPr>
              <w:t>24г</w:t>
            </w:r>
            <w:r w:rsidRPr="00C44EE6">
              <w:rPr>
                <w:b/>
                <w:i/>
                <w:sz w:val="24"/>
              </w:rPr>
              <w:t>г.</w:t>
            </w:r>
          </w:p>
        </w:tc>
      </w:tr>
    </w:tbl>
    <w:p w14:paraId="457B35F9" w14:textId="30158164" w:rsidR="00DC254E" w:rsidRPr="00C44EE6" w:rsidRDefault="00DC254E" w:rsidP="00DC254E">
      <w:pPr>
        <w:ind w:left="284"/>
        <w:rPr>
          <w:lang w:val="ky-KG"/>
        </w:rPr>
      </w:pPr>
      <w:r w:rsidRPr="00C44EE6">
        <w:rPr>
          <w:noProof/>
          <w:sz w:val="24"/>
        </w:rPr>
        <w:drawing>
          <wp:inline distT="0" distB="0" distL="0" distR="0" wp14:anchorId="4411B38B" wp14:editId="2BB985BB">
            <wp:extent cx="6010275" cy="2786380"/>
            <wp:effectExtent l="0" t="0" r="0" b="13970"/>
            <wp:docPr id="1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E652907" w14:textId="77777777" w:rsidR="00DC254E" w:rsidRPr="00C44EE6" w:rsidRDefault="00DC254E">
      <w:pPr>
        <w:rPr>
          <w:lang w:val="ky-KG"/>
        </w:rPr>
      </w:pPr>
    </w:p>
    <w:tbl>
      <w:tblPr>
        <w:tblW w:w="9497" w:type="dxa"/>
        <w:tblInd w:w="250" w:type="dxa"/>
        <w:tblLook w:val="04A0" w:firstRow="1" w:lastRow="0" w:firstColumn="1" w:lastColumn="0" w:noHBand="0" w:noVBand="1"/>
      </w:tblPr>
      <w:tblGrid>
        <w:gridCol w:w="4677"/>
        <w:gridCol w:w="4820"/>
      </w:tblGrid>
      <w:tr w:rsidR="00C44EE6" w:rsidRPr="00C44EE6" w14:paraId="5F2D2B21" w14:textId="77777777" w:rsidTr="0044137F">
        <w:tc>
          <w:tcPr>
            <w:tcW w:w="4677" w:type="dxa"/>
          </w:tcPr>
          <w:p w14:paraId="6E27B5A3" w14:textId="6F0AA004" w:rsidR="006F7362" w:rsidRPr="00C44EE6" w:rsidRDefault="006F7362" w:rsidP="006F7362">
            <w:pPr>
              <w:jc w:val="both"/>
              <w:rPr>
                <w:b/>
                <w:sz w:val="24"/>
                <w:lang w:val="ky-KG"/>
              </w:rPr>
            </w:pPr>
            <w:r w:rsidRPr="00C44EE6">
              <w:rPr>
                <w:b/>
                <w:sz w:val="24"/>
                <w:lang w:val="ky-KG"/>
              </w:rPr>
              <w:t xml:space="preserve">Билим берүү. </w:t>
            </w:r>
            <w:r w:rsidRPr="00C44EE6">
              <w:rPr>
                <w:sz w:val="24"/>
                <w:lang w:val="ky-KG"/>
              </w:rPr>
              <w:t>Облус боюнча 491 күндүзгү жалпы билим берүү мектеби бар, анда 291900 бала окуйт. Анын 472 мектеби – мамлекеттик, анын ичинен  19-жеке мектептер. Акыркы беш жылда жалпы билим берүүчү мектептерде окугандардын саны 30449 окуучуга же 1,1 пайызга өстү.</w:t>
            </w:r>
          </w:p>
        </w:tc>
        <w:tc>
          <w:tcPr>
            <w:tcW w:w="4820" w:type="dxa"/>
          </w:tcPr>
          <w:p w14:paraId="047031A5" w14:textId="7F043C91" w:rsidR="006F7362" w:rsidRPr="00C44EE6" w:rsidRDefault="006F7362" w:rsidP="006F7362">
            <w:pPr>
              <w:jc w:val="both"/>
              <w:rPr>
                <w:b/>
                <w:i/>
                <w:sz w:val="24"/>
              </w:rPr>
            </w:pPr>
            <w:r w:rsidRPr="00C44EE6">
              <w:rPr>
                <w:b/>
                <w:i/>
                <w:sz w:val="24"/>
              </w:rPr>
              <w:t>Образование.</w:t>
            </w:r>
            <w:r w:rsidRPr="00C44EE6">
              <w:rPr>
                <w:i/>
                <w:sz w:val="24"/>
              </w:rPr>
              <w:t xml:space="preserve">  В области действует </w:t>
            </w:r>
            <w:proofErr w:type="gramStart"/>
            <w:r w:rsidRPr="00C44EE6">
              <w:rPr>
                <w:i/>
                <w:sz w:val="24"/>
                <w:lang w:val="ky-KG"/>
              </w:rPr>
              <w:t>491</w:t>
            </w:r>
            <w:r w:rsidRPr="00C44EE6">
              <w:rPr>
                <w:i/>
                <w:sz w:val="24"/>
              </w:rPr>
              <w:t xml:space="preserve"> дневных</w:t>
            </w:r>
            <w:proofErr w:type="gramEnd"/>
            <w:r w:rsidRPr="00C44EE6">
              <w:rPr>
                <w:i/>
                <w:sz w:val="24"/>
              </w:rPr>
              <w:t xml:space="preserve"> общеобразовательных школ, где обучается </w:t>
            </w:r>
            <w:r w:rsidRPr="00C44EE6">
              <w:rPr>
                <w:i/>
                <w:sz w:val="24"/>
                <w:lang w:val="ky-KG"/>
              </w:rPr>
              <w:t>291900</w:t>
            </w:r>
            <w:r w:rsidRPr="00C44EE6">
              <w:rPr>
                <w:i/>
                <w:sz w:val="24"/>
              </w:rPr>
              <w:t xml:space="preserve"> детей. Из общего числа школ </w:t>
            </w:r>
            <w:r w:rsidRPr="00C44EE6">
              <w:rPr>
                <w:i/>
                <w:sz w:val="24"/>
                <w:lang w:val="ky-KG"/>
              </w:rPr>
              <w:t>472</w:t>
            </w:r>
            <w:r w:rsidRPr="00C44EE6">
              <w:rPr>
                <w:i/>
                <w:sz w:val="24"/>
              </w:rPr>
              <w:t xml:space="preserve"> – государственные, из них </w:t>
            </w:r>
            <w:r w:rsidRPr="00C44EE6">
              <w:rPr>
                <w:i/>
                <w:sz w:val="24"/>
                <w:lang w:val="ky-KG"/>
              </w:rPr>
              <w:t>19</w:t>
            </w:r>
            <w:r w:rsidRPr="00C44EE6">
              <w:rPr>
                <w:i/>
                <w:sz w:val="24"/>
              </w:rPr>
              <w:t xml:space="preserve"> – частные школы. За последние пять лет число учащихся в общеобразовательных школах возросло на </w:t>
            </w:r>
            <w:r w:rsidRPr="00C44EE6">
              <w:rPr>
                <w:i/>
                <w:sz w:val="24"/>
                <w:lang w:val="ky-KG"/>
              </w:rPr>
              <w:t>30449</w:t>
            </w:r>
            <w:r w:rsidRPr="00C44EE6">
              <w:rPr>
                <w:i/>
                <w:sz w:val="24"/>
              </w:rPr>
              <w:t xml:space="preserve"> учеников, или </w:t>
            </w:r>
            <w:r w:rsidRPr="00C44EE6">
              <w:rPr>
                <w:i/>
                <w:sz w:val="24"/>
                <w:lang w:val="ky-KG"/>
              </w:rPr>
              <w:t>больше</w:t>
            </w:r>
            <w:r w:rsidRPr="00C44EE6">
              <w:rPr>
                <w:i/>
                <w:sz w:val="24"/>
              </w:rPr>
              <w:t xml:space="preserve"> </w:t>
            </w:r>
            <w:r w:rsidRPr="00C44EE6">
              <w:rPr>
                <w:i/>
                <w:sz w:val="24"/>
                <w:lang w:val="ky-KG"/>
              </w:rPr>
              <w:t>1,1</w:t>
            </w:r>
            <w:r w:rsidRPr="00C44EE6">
              <w:rPr>
                <w:i/>
                <w:sz w:val="24"/>
              </w:rPr>
              <w:t xml:space="preserve"> </w:t>
            </w:r>
            <w:r w:rsidRPr="00C44EE6">
              <w:rPr>
                <w:i/>
                <w:sz w:val="24"/>
                <w:lang w:val="ky-KG"/>
              </w:rPr>
              <w:t>процента</w:t>
            </w:r>
            <w:r w:rsidRPr="00C44EE6">
              <w:rPr>
                <w:i/>
                <w:sz w:val="24"/>
              </w:rPr>
              <w:t xml:space="preserve">. </w:t>
            </w:r>
          </w:p>
        </w:tc>
      </w:tr>
      <w:tr w:rsidR="00C44EE6" w:rsidRPr="00C44EE6" w14:paraId="78099AAD" w14:textId="77777777" w:rsidTr="0044137F">
        <w:tc>
          <w:tcPr>
            <w:tcW w:w="4677" w:type="dxa"/>
          </w:tcPr>
          <w:p w14:paraId="53E3FB61" w14:textId="5BE52C89" w:rsidR="006F7362" w:rsidRPr="00C44EE6" w:rsidRDefault="006F7362" w:rsidP="006F7362">
            <w:pPr>
              <w:jc w:val="both"/>
              <w:rPr>
                <w:b/>
                <w:sz w:val="24"/>
                <w:lang w:val="ky-KG"/>
              </w:rPr>
            </w:pPr>
            <w:proofErr w:type="spellStart"/>
            <w:r w:rsidRPr="00C44EE6">
              <w:rPr>
                <w:sz w:val="24"/>
              </w:rPr>
              <w:t>Жалпы</w:t>
            </w:r>
            <w:proofErr w:type="spellEnd"/>
            <w:r w:rsidRPr="00C44EE6">
              <w:rPr>
                <w:sz w:val="24"/>
              </w:rPr>
              <w:t xml:space="preserve"> </w:t>
            </w:r>
            <w:proofErr w:type="spellStart"/>
            <w:r w:rsidRPr="00C44EE6">
              <w:rPr>
                <w:sz w:val="24"/>
              </w:rPr>
              <w:t>билим</w:t>
            </w:r>
            <w:proofErr w:type="spellEnd"/>
            <w:r w:rsidRPr="00C44EE6">
              <w:rPr>
                <w:sz w:val="24"/>
              </w:rPr>
              <w:t xml:space="preserve"> </w:t>
            </w:r>
            <w:proofErr w:type="spellStart"/>
            <w:r w:rsidRPr="00C44EE6">
              <w:rPr>
                <w:sz w:val="24"/>
              </w:rPr>
              <w:t>берүүчү</w:t>
            </w:r>
            <w:proofErr w:type="spellEnd"/>
            <w:r w:rsidRPr="00C44EE6">
              <w:rPr>
                <w:sz w:val="24"/>
              </w:rPr>
              <w:t xml:space="preserve"> </w:t>
            </w:r>
            <w:proofErr w:type="spellStart"/>
            <w:r w:rsidRPr="00C44EE6">
              <w:rPr>
                <w:sz w:val="24"/>
              </w:rPr>
              <w:t>мектептерде</w:t>
            </w:r>
            <w:proofErr w:type="spellEnd"/>
            <w:r w:rsidRPr="00C44EE6">
              <w:rPr>
                <w:sz w:val="24"/>
              </w:rPr>
              <w:t xml:space="preserve"> </w:t>
            </w:r>
            <w:proofErr w:type="spellStart"/>
            <w:r w:rsidRPr="00C44EE6">
              <w:rPr>
                <w:sz w:val="24"/>
              </w:rPr>
              <w:t>окутуу</w:t>
            </w:r>
            <w:proofErr w:type="spellEnd"/>
            <w:r w:rsidRPr="00C44EE6">
              <w:rPr>
                <w:sz w:val="24"/>
              </w:rPr>
              <w:t xml:space="preserve"> кыргыз (</w:t>
            </w:r>
            <w:proofErr w:type="spellStart"/>
            <w:r w:rsidRPr="00C44EE6">
              <w:rPr>
                <w:sz w:val="24"/>
              </w:rPr>
              <w:t>мамлекеттик</w:t>
            </w:r>
            <w:proofErr w:type="spellEnd"/>
            <w:r w:rsidRPr="00C44EE6">
              <w:rPr>
                <w:sz w:val="24"/>
              </w:rPr>
              <w:t xml:space="preserve">) </w:t>
            </w:r>
            <w:proofErr w:type="spellStart"/>
            <w:r w:rsidRPr="00C44EE6">
              <w:rPr>
                <w:sz w:val="24"/>
              </w:rPr>
              <w:t>жана</w:t>
            </w:r>
            <w:proofErr w:type="spellEnd"/>
            <w:r w:rsidRPr="00C44EE6">
              <w:rPr>
                <w:sz w:val="24"/>
              </w:rPr>
              <w:t xml:space="preserve"> </w:t>
            </w:r>
            <w:proofErr w:type="spellStart"/>
            <w:r w:rsidRPr="00C44EE6">
              <w:rPr>
                <w:sz w:val="24"/>
              </w:rPr>
              <w:t>орус</w:t>
            </w:r>
            <w:proofErr w:type="spellEnd"/>
            <w:r w:rsidRPr="00C44EE6">
              <w:rPr>
                <w:sz w:val="24"/>
              </w:rPr>
              <w:t xml:space="preserve"> </w:t>
            </w:r>
            <w:proofErr w:type="spellStart"/>
            <w:r w:rsidRPr="00C44EE6">
              <w:rPr>
                <w:sz w:val="24"/>
              </w:rPr>
              <w:t>тилдеринде</w:t>
            </w:r>
            <w:proofErr w:type="spellEnd"/>
            <w:r w:rsidRPr="00C44EE6">
              <w:rPr>
                <w:sz w:val="24"/>
              </w:rPr>
              <w:t xml:space="preserve"> </w:t>
            </w:r>
            <w:proofErr w:type="spellStart"/>
            <w:r w:rsidRPr="00C44EE6">
              <w:rPr>
                <w:sz w:val="24"/>
              </w:rPr>
              <w:t>жүргүзүлөт</w:t>
            </w:r>
            <w:proofErr w:type="spellEnd"/>
            <w:r w:rsidRPr="00C44EE6">
              <w:rPr>
                <w:sz w:val="24"/>
              </w:rPr>
              <w:t>.</w:t>
            </w:r>
          </w:p>
        </w:tc>
        <w:tc>
          <w:tcPr>
            <w:tcW w:w="4820" w:type="dxa"/>
          </w:tcPr>
          <w:p w14:paraId="6C2F923A" w14:textId="3B8608D1" w:rsidR="006F7362" w:rsidRPr="00C44EE6" w:rsidRDefault="006F7362" w:rsidP="006F7362">
            <w:pPr>
              <w:jc w:val="both"/>
              <w:rPr>
                <w:b/>
                <w:i/>
                <w:sz w:val="24"/>
              </w:rPr>
            </w:pPr>
            <w:r w:rsidRPr="00C44EE6">
              <w:rPr>
                <w:i/>
                <w:sz w:val="24"/>
              </w:rPr>
              <w:t>В общеобразовательных школах области обучение ведется на двух языках: кыргызском (государственном) и русском.</w:t>
            </w:r>
          </w:p>
        </w:tc>
      </w:tr>
      <w:tr w:rsidR="00C44EE6" w:rsidRPr="00C44EE6" w14:paraId="31081C74" w14:textId="77777777" w:rsidTr="0044137F">
        <w:tc>
          <w:tcPr>
            <w:tcW w:w="4677" w:type="dxa"/>
          </w:tcPr>
          <w:p w14:paraId="50B52BA2" w14:textId="17F91121" w:rsidR="006F7362" w:rsidRPr="00C44EE6" w:rsidRDefault="006F7362" w:rsidP="006F7362">
            <w:pPr>
              <w:jc w:val="both"/>
              <w:rPr>
                <w:b/>
                <w:sz w:val="24"/>
                <w:lang w:val="ky-KG"/>
              </w:rPr>
            </w:pPr>
            <w:r w:rsidRPr="00C44EE6">
              <w:rPr>
                <w:sz w:val="24"/>
                <w:lang w:val="ky-KG"/>
              </w:rPr>
              <w:t>Мугалимдердин  саны жалпы билим берүү мектептерде 18613 адамды түзөт жана бир мугалимге 15 окуучу туура келет,</w:t>
            </w:r>
            <w:r w:rsidRPr="00C44EE6">
              <w:rPr>
                <w:sz w:val="24"/>
              </w:rPr>
              <w:t xml:space="preserve"> 2020-ж</w:t>
            </w:r>
            <w:r w:rsidRPr="00C44EE6">
              <w:rPr>
                <w:sz w:val="24"/>
                <w:lang w:val="ky-KG"/>
              </w:rPr>
              <w:t>ылы бир мугалимге 16 окуучудан туура келген.</w:t>
            </w:r>
          </w:p>
        </w:tc>
        <w:tc>
          <w:tcPr>
            <w:tcW w:w="4820" w:type="dxa"/>
          </w:tcPr>
          <w:p w14:paraId="5157D15F" w14:textId="2E3B14B7" w:rsidR="006F7362" w:rsidRPr="00C44EE6" w:rsidRDefault="006F7362" w:rsidP="006F7362">
            <w:pPr>
              <w:jc w:val="both"/>
              <w:rPr>
                <w:b/>
                <w:i/>
                <w:sz w:val="24"/>
              </w:rPr>
            </w:pPr>
            <w:r w:rsidRPr="00C44EE6">
              <w:rPr>
                <w:i/>
                <w:sz w:val="24"/>
              </w:rPr>
              <w:t xml:space="preserve">Численность преподавателей в общеобразовательных школах области составляет </w:t>
            </w:r>
            <w:r w:rsidRPr="00C44EE6">
              <w:rPr>
                <w:i/>
                <w:sz w:val="24"/>
                <w:lang w:val="ky-KG"/>
              </w:rPr>
              <w:t>18613</w:t>
            </w:r>
            <w:r w:rsidRPr="00C44EE6">
              <w:rPr>
                <w:i/>
                <w:sz w:val="24"/>
              </w:rPr>
              <w:t xml:space="preserve"> человек</w:t>
            </w:r>
            <w:r w:rsidRPr="00C44EE6">
              <w:rPr>
                <w:i/>
                <w:sz w:val="24"/>
                <w:lang w:val="ky-KG"/>
              </w:rPr>
              <w:t>а</w:t>
            </w:r>
            <w:r w:rsidRPr="00C44EE6">
              <w:rPr>
                <w:i/>
                <w:sz w:val="24"/>
              </w:rPr>
              <w:t xml:space="preserve"> и на одного учителя приходится 1</w:t>
            </w:r>
            <w:r w:rsidRPr="00C44EE6">
              <w:rPr>
                <w:i/>
                <w:sz w:val="24"/>
                <w:lang w:val="ky-KG"/>
              </w:rPr>
              <w:t>5</w:t>
            </w:r>
            <w:r w:rsidRPr="00C44EE6">
              <w:rPr>
                <w:i/>
                <w:sz w:val="24"/>
              </w:rPr>
              <w:t xml:space="preserve"> учеников, в 2020г. на одного учителя приходилось</w:t>
            </w:r>
            <w:r w:rsidRPr="00C44EE6">
              <w:rPr>
                <w:i/>
                <w:sz w:val="24"/>
                <w:lang w:val="ky-KG"/>
              </w:rPr>
              <w:t xml:space="preserve"> 16</w:t>
            </w:r>
            <w:r w:rsidRPr="00C44EE6">
              <w:rPr>
                <w:i/>
                <w:sz w:val="24"/>
              </w:rPr>
              <w:t xml:space="preserve"> учеников</w:t>
            </w:r>
          </w:p>
        </w:tc>
      </w:tr>
      <w:tr w:rsidR="00C44EE6" w:rsidRPr="00C44EE6" w14:paraId="033AB4FD" w14:textId="77777777" w:rsidTr="0044137F">
        <w:tc>
          <w:tcPr>
            <w:tcW w:w="4677" w:type="dxa"/>
          </w:tcPr>
          <w:p w14:paraId="59FE9049" w14:textId="756A27FA" w:rsidR="006F7362" w:rsidRPr="00C44EE6" w:rsidRDefault="006F7362" w:rsidP="006F7362">
            <w:pPr>
              <w:jc w:val="both"/>
              <w:rPr>
                <w:b/>
                <w:sz w:val="24"/>
                <w:lang w:val="ky-KG"/>
              </w:rPr>
            </w:pPr>
            <w:proofErr w:type="spellStart"/>
            <w:r w:rsidRPr="00C44EE6">
              <w:rPr>
                <w:sz w:val="24"/>
              </w:rPr>
              <w:t>Облуста</w:t>
            </w:r>
            <w:proofErr w:type="spellEnd"/>
            <w:r w:rsidRPr="00C44EE6">
              <w:rPr>
                <w:sz w:val="24"/>
              </w:rPr>
              <w:t xml:space="preserve"> </w:t>
            </w:r>
            <w:r w:rsidRPr="00C44EE6">
              <w:rPr>
                <w:sz w:val="24"/>
                <w:lang w:val="ky-KG"/>
              </w:rPr>
              <w:t>4</w:t>
            </w:r>
            <w:r w:rsidRPr="00C44EE6">
              <w:rPr>
                <w:sz w:val="24"/>
              </w:rPr>
              <w:t xml:space="preserve"> </w:t>
            </w:r>
            <w:proofErr w:type="spellStart"/>
            <w:r w:rsidRPr="00C44EE6">
              <w:rPr>
                <w:sz w:val="24"/>
              </w:rPr>
              <w:t>жогорку</w:t>
            </w:r>
            <w:proofErr w:type="spellEnd"/>
            <w:r w:rsidRPr="00C44EE6">
              <w:rPr>
                <w:sz w:val="24"/>
                <w:lang w:val="ky-KG"/>
              </w:rPr>
              <w:t xml:space="preserve"> профессио</w:t>
            </w:r>
            <w:r w:rsidRPr="00C44EE6">
              <w:rPr>
                <w:sz w:val="24"/>
              </w:rPr>
              <w:t>-</w:t>
            </w:r>
            <w:r w:rsidRPr="00C44EE6">
              <w:rPr>
                <w:sz w:val="24"/>
                <w:lang w:val="ky-KG"/>
              </w:rPr>
              <w:t>налдык билим берүү уюмдары</w:t>
            </w:r>
            <w:r w:rsidRPr="00C44EE6">
              <w:rPr>
                <w:sz w:val="24"/>
              </w:rPr>
              <w:t xml:space="preserve">, </w:t>
            </w:r>
            <w:r w:rsidRPr="00C44EE6">
              <w:rPr>
                <w:sz w:val="24"/>
                <w:lang w:val="ky-KG"/>
              </w:rPr>
              <w:t>19</w:t>
            </w:r>
            <w:r w:rsidRPr="00C44EE6">
              <w:rPr>
                <w:sz w:val="24"/>
              </w:rPr>
              <w:t xml:space="preserve"> орто</w:t>
            </w:r>
            <w:r w:rsidRPr="00C44EE6">
              <w:rPr>
                <w:sz w:val="24"/>
                <w:lang w:val="ky-KG"/>
              </w:rPr>
              <w:t xml:space="preserve"> профессионалдык</w:t>
            </w:r>
            <w:r w:rsidRPr="00C44EE6">
              <w:rPr>
                <w:sz w:val="24"/>
              </w:rPr>
              <w:t xml:space="preserve"> </w:t>
            </w:r>
            <w:proofErr w:type="spellStart"/>
            <w:r w:rsidRPr="00C44EE6">
              <w:rPr>
                <w:sz w:val="24"/>
              </w:rPr>
              <w:t>жана</w:t>
            </w:r>
            <w:proofErr w:type="spellEnd"/>
            <w:r w:rsidRPr="00C44EE6">
              <w:rPr>
                <w:sz w:val="24"/>
              </w:rPr>
              <w:t xml:space="preserve"> </w:t>
            </w:r>
            <w:r w:rsidRPr="00C44EE6">
              <w:rPr>
                <w:sz w:val="24"/>
                <w:lang w:val="ky-KG"/>
              </w:rPr>
              <w:t>19</w:t>
            </w:r>
            <w:r w:rsidRPr="00C44EE6">
              <w:rPr>
                <w:sz w:val="24"/>
              </w:rPr>
              <w:t xml:space="preserve">  </w:t>
            </w:r>
            <w:r w:rsidRPr="00C44EE6">
              <w:rPr>
                <w:sz w:val="24"/>
                <w:lang w:val="ky-KG"/>
              </w:rPr>
              <w:t xml:space="preserve">  профессионалдык </w:t>
            </w:r>
            <w:proofErr w:type="gramStart"/>
            <w:r w:rsidRPr="00C44EE6">
              <w:rPr>
                <w:sz w:val="24"/>
                <w:lang w:val="ky-KG"/>
              </w:rPr>
              <w:t>техникалык  билим</w:t>
            </w:r>
            <w:proofErr w:type="gramEnd"/>
            <w:r w:rsidRPr="00C44EE6">
              <w:rPr>
                <w:sz w:val="24"/>
                <w:lang w:val="ky-KG"/>
              </w:rPr>
              <w:t xml:space="preserve"> берүү уюмдары бар</w:t>
            </w:r>
            <w:r w:rsidRPr="00C44EE6">
              <w:rPr>
                <w:sz w:val="24"/>
              </w:rPr>
              <w:t>.</w:t>
            </w:r>
          </w:p>
        </w:tc>
        <w:tc>
          <w:tcPr>
            <w:tcW w:w="4820" w:type="dxa"/>
          </w:tcPr>
          <w:p w14:paraId="42EA2B55" w14:textId="77777777" w:rsidR="006F7362" w:rsidRPr="00C44EE6" w:rsidRDefault="006F7362" w:rsidP="006F7362">
            <w:pPr>
              <w:ind w:firstLine="708"/>
              <w:jc w:val="both"/>
              <w:rPr>
                <w:i/>
                <w:sz w:val="24"/>
                <w:lang w:val="ky-KG"/>
              </w:rPr>
            </w:pPr>
            <w:r w:rsidRPr="00C44EE6">
              <w:rPr>
                <w:i/>
                <w:sz w:val="24"/>
              </w:rPr>
              <w:t xml:space="preserve">В области имеется </w:t>
            </w:r>
            <w:r w:rsidRPr="00C44EE6">
              <w:rPr>
                <w:i/>
                <w:sz w:val="24"/>
                <w:lang w:val="ky-KG"/>
              </w:rPr>
              <w:t>4</w:t>
            </w:r>
            <w:r w:rsidRPr="00C44EE6">
              <w:rPr>
                <w:i/>
                <w:sz w:val="24"/>
              </w:rPr>
              <w:t xml:space="preserve">- </w:t>
            </w:r>
            <w:r w:rsidRPr="00C44EE6">
              <w:rPr>
                <w:i/>
                <w:sz w:val="24"/>
                <w:lang w:val="ky-KG"/>
              </w:rPr>
              <w:t>образовательная организация высшего профессионального образования</w:t>
            </w:r>
            <w:r w:rsidRPr="00C44EE6">
              <w:rPr>
                <w:i/>
                <w:sz w:val="24"/>
              </w:rPr>
              <w:t xml:space="preserve">, </w:t>
            </w:r>
            <w:r w:rsidRPr="00C44EE6">
              <w:rPr>
                <w:i/>
                <w:sz w:val="24"/>
                <w:lang w:val="ky-KG"/>
              </w:rPr>
              <w:t xml:space="preserve">19-образовательных организаций среднего профессионального образования </w:t>
            </w:r>
            <w:r w:rsidRPr="00C44EE6">
              <w:rPr>
                <w:i/>
                <w:sz w:val="24"/>
              </w:rPr>
              <w:t xml:space="preserve">и </w:t>
            </w:r>
            <w:r w:rsidRPr="00C44EE6">
              <w:rPr>
                <w:i/>
                <w:sz w:val="24"/>
                <w:lang w:val="ky-KG"/>
              </w:rPr>
              <w:t xml:space="preserve">19 -образовательных </w:t>
            </w:r>
            <w:proofErr w:type="gramStart"/>
            <w:r w:rsidRPr="00C44EE6">
              <w:rPr>
                <w:i/>
                <w:sz w:val="24"/>
                <w:lang w:val="ky-KG"/>
              </w:rPr>
              <w:t>организаций  профессио</w:t>
            </w:r>
            <w:proofErr w:type="gramEnd"/>
            <w:r w:rsidRPr="00C44EE6">
              <w:rPr>
                <w:i/>
                <w:sz w:val="24"/>
                <w:lang w:val="ky-KG"/>
              </w:rPr>
              <w:t>-</w:t>
            </w:r>
          </w:p>
          <w:p w14:paraId="58FD4557" w14:textId="1E7F3684" w:rsidR="006F7362" w:rsidRPr="00C44EE6" w:rsidRDefault="006F7362" w:rsidP="006F7362">
            <w:pPr>
              <w:ind w:firstLine="708"/>
              <w:jc w:val="both"/>
              <w:rPr>
                <w:b/>
                <w:i/>
                <w:sz w:val="24"/>
              </w:rPr>
            </w:pPr>
            <w:r w:rsidRPr="00C44EE6">
              <w:rPr>
                <w:i/>
                <w:sz w:val="24"/>
                <w:lang w:val="ky-KG"/>
              </w:rPr>
              <w:t xml:space="preserve">нального технических </w:t>
            </w:r>
          </w:p>
          <w:p w14:paraId="15F215CA" w14:textId="198B15F0" w:rsidR="006F7362" w:rsidRPr="00C44EE6" w:rsidRDefault="006F7362" w:rsidP="006F7362">
            <w:pPr>
              <w:jc w:val="both"/>
              <w:rPr>
                <w:b/>
                <w:i/>
                <w:sz w:val="24"/>
              </w:rPr>
            </w:pPr>
          </w:p>
        </w:tc>
      </w:tr>
      <w:tr w:rsidR="00C44EE6" w:rsidRPr="00C44EE6" w14:paraId="722D8E3D" w14:textId="77777777" w:rsidTr="0044137F">
        <w:tc>
          <w:tcPr>
            <w:tcW w:w="4677" w:type="dxa"/>
          </w:tcPr>
          <w:p w14:paraId="78C39D4C" w14:textId="70A57C12" w:rsidR="006F7362" w:rsidRPr="00C44EE6" w:rsidRDefault="006F7362" w:rsidP="006F7362">
            <w:pPr>
              <w:jc w:val="both"/>
              <w:rPr>
                <w:b/>
                <w:sz w:val="24"/>
                <w:lang w:val="ky-KG"/>
              </w:rPr>
            </w:pPr>
            <w:r w:rsidRPr="00C44EE6">
              <w:rPr>
                <w:sz w:val="24"/>
                <w:lang w:val="ky-KG"/>
              </w:rPr>
              <w:t>Жогорку профессионалдык билим берүүчү уюмдардын студенттеринин саны</w:t>
            </w:r>
            <w:r w:rsidRPr="00C44EE6">
              <w:rPr>
                <w:sz w:val="24"/>
              </w:rPr>
              <w:t xml:space="preserve"> 20</w:t>
            </w:r>
            <w:r w:rsidRPr="00C44EE6">
              <w:rPr>
                <w:sz w:val="24"/>
                <w:lang w:val="ky-KG"/>
              </w:rPr>
              <w:t>24-жылы</w:t>
            </w:r>
            <w:r w:rsidRPr="00C44EE6">
              <w:rPr>
                <w:sz w:val="24"/>
              </w:rPr>
              <w:t xml:space="preserve"> 12127</w:t>
            </w:r>
            <w:r w:rsidRPr="00C44EE6">
              <w:rPr>
                <w:sz w:val="24"/>
                <w:lang w:val="ky-KG"/>
              </w:rPr>
              <w:t>,</w:t>
            </w:r>
            <w:r w:rsidRPr="00C44EE6">
              <w:rPr>
                <w:sz w:val="24"/>
              </w:rPr>
              <w:t xml:space="preserve"> </w:t>
            </w:r>
            <w:r w:rsidRPr="00C44EE6">
              <w:rPr>
                <w:sz w:val="24"/>
                <w:lang w:val="ky-KG"/>
              </w:rPr>
              <w:t>орто профессионалдык билим берүү уюмдары</w:t>
            </w:r>
            <w:r w:rsidRPr="00C44EE6">
              <w:rPr>
                <w:sz w:val="24"/>
              </w:rPr>
              <w:t xml:space="preserve">  </w:t>
            </w:r>
            <w:r w:rsidRPr="00C44EE6">
              <w:rPr>
                <w:sz w:val="24"/>
                <w:lang w:val="ky-KG"/>
              </w:rPr>
              <w:t>15660</w:t>
            </w:r>
            <w:r w:rsidRPr="00C44EE6">
              <w:rPr>
                <w:sz w:val="24"/>
              </w:rPr>
              <w:t xml:space="preserve">, </w:t>
            </w:r>
            <w:r w:rsidRPr="00C44EE6">
              <w:rPr>
                <w:sz w:val="24"/>
                <w:lang w:val="ky-KG"/>
              </w:rPr>
              <w:t>башталгыч профессионалдык билим берүү уюмдарында</w:t>
            </w:r>
            <w:r w:rsidRPr="00C44EE6">
              <w:rPr>
                <w:sz w:val="24"/>
              </w:rPr>
              <w:t xml:space="preserve"> </w:t>
            </w:r>
            <w:r w:rsidRPr="00C44EE6">
              <w:rPr>
                <w:sz w:val="24"/>
                <w:lang w:val="ky-KG"/>
              </w:rPr>
              <w:t>5039 студентти түздү,</w:t>
            </w:r>
            <w:r w:rsidRPr="00C44EE6">
              <w:rPr>
                <w:sz w:val="24"/>
              </w:rPr>
              <w:t xml:space="preserve"> 20</w:t>
            </w:r>
            <w:r w:rsidRPr="00C44EE6">
              <w:rPr>
                <w:sz w:val="24"/>
                <w:lang w:val="ky-KG"/>
              </w:rPr>
              <w:t>24-жылда жогорку профессионалдык билим берүүчү уюмдарынын студенттеринин саны</w:t>
            </w:r>
            <w:r w:rsidRPr="00C44EE6">
              <w:rPr>
                <w:sz w:val="24"/>
              </w:rPr>
              <w:t xml:space="preserve"> </w:t>
            </w:r>
            <w:r w:rsidRPr="00C44EE6">
              <w:rPr>
                <w:sz w:val="24"/>
                <w:lang w:val="ky-KG"/>
              </w:rPr>
              <w:t>2020-жылга салыштырмалуу 1,1 пайызга көбөйгөн, орто профессионалдык билим берүү уюмдарында</w:t>
            </w:r>
            <w:r w:rsidRPr="00C44EE6">
              <w:rPr>
                <w:sz w:val="24"/>
              </w:rPr>
              <w:t xml:space="preserve"> </w:t>
            </w:r>
            <w:r w:rsidRPr="00C44EE6">
              <w:rPr>
                <w:sz w:val="24"/>
                <w:lang w:val="ky-KG"/>
              </w:rPr>
              <w:t>1,1 пайызга көбөйгөн</w:t>
            </w:r>
            <w:r w:rsidRPr="00C44EE6">
              <w:rPr>
                <w:sz w:val="24"/>
              </w:rPr>
              <w:t xml:space="preserve">, </w:t>
            </w:r>
            <w:r w:rsidRPr="00C44EE6">
              <w:rPr>
                <w:sz w:val="24"/>
                <w:lang w:val="ky-KG"/>
              </w:rPr>
              <w:t xml:space="preserve">башталгыч профессионалдык билим берүү уюмдарынын студенттеринин саны </w:t>
            </w:r>
            <w:r w:rsidRPr="00C44EE6">
              <w:rPr>
                <w:sz w:val="24"/>
              </w:rPr>
              <w:t xml:space="preserve"> 0,9</w:t>
            </w:r>
            <w:r w:rsidRPr="00C44EE6">
              <w:rPr>
                <w:sz w:val="24"/>
                <w:lang w:val="ky-KG"/>
              </w:rPr>
              <w:t xml:space="preserve"> пайызга азайган.</w:t>
            </w:r>
          </w:p>
        </w:tc>
        <w:tc>
          <w:tcPr>
            <w:tcW w:w="4820" w:type="dxa"/>
          </w:tcPr>
          <w:p w14:paraId="0376732F" w14:textId="5662EB44" w:rsidR="006F7362" w:rsidRPr="00C44EE6" w:rsidRDefault="006F7362" w:rsidP="006F7362">
            <w:pPr>
              <w:jc w:val="both"/>
              <w:rPr>
                <w:b/>
                <w:i/>
                <w:sz w:val="24"/>
              </w:rPr>
            </w:pPr>
            <w:r w:rsidRPr="00C44EE6">
              <w:rPr>
                <w:i/>
                <w:sz w:val="24"/>
              </w:rPr>
              <w:t>Количество студентов в образовательные организации высшего профессионального образования области в 20</w:t>
            </w:r>
            <w:r w:rsidRPr="00C44EE6">
              <w:rPr>
                <w:i/>
                <w:sz w:val="24"/>
                <w:lang w:val="ky-KG"/>
              </w:rPr>
              <w:t>24</w:t>
            </w:r>
            <w:r w:rsidRPr="00C44EE6">
              <w:rPr>
                <w:i/>
                <w:sz w:val="24"/>
              </w:rPr>
              <w:t xml:space="preserve">г. </w:t>
            </w:r>
            <w:proofErr w:type="gramStart"/>
            <w:r w:rsidRPr="00C44EE6">
              <w:rPr>
                <w:i/>
                <w:sz w:val="24"/>
              </w:rPr>
              <w:t xml:space="preserve">составляет  </w:t>
            </w:r>
            <w:r w:rsidRPr="00C44EE6">
              <w:rPr>
                <w:i/>
                <w:sz w:val="24"/>
                <w:lang w:val="ky-KG"/>
              </w:rPr>
              <w:t>12127</w:t>
            </w:r>
            <w:proofErr w:type="gramEnd"/>
            <w:r w:rsidRPr="00C44EE6">
              <w:rPr>
                <w:i/>
                <w:sz w:val="24"/>
              </w:rPr>
              <w:t xml:space="preserve"> человек, образовательные организации среднего профессионального </w:t>
            </w:r>
            <w:proofErr w:type="gramStart"/>
            <w:r w:rsidRPr="00C44EE6">
              <w:rPr>
                <w:i/>
                <w:sz w:val="24"/>
              </w:rPr>
              <w:t xml:space="preserve">образования  </w:t>
            </w:r>
            <w:r w:rsidRPr="00C44EE6">
              <w:rPr>
                <w:i/>
                <w:sz w:val="24"/>
                <w:lang w:val="ky-KG"/>
              </w:rPr>
              <w:t>15660</w:t>
            </w:r>
            <w:proofErr w:type="gramEnd"/>
            <w:r w:rsidRPr="00C44EE6">
              <w:rPr>
                <w:i/>
                <w:sz w:val="24"/>
              </w:rPr>
              <w:t>, образовательные организации начального профессионального образования. – 5039 человек. В 20</w:t>
            </w:r>
            <w:r w:rsidRPr="00C44EE6">
              <w:rPr>
                <w:i/>
                <w:sz w:val="24"/>
                <w:lang w:val="ky-KG"/>
              </w:rPr>
              <w:t>24</w:t>
            </w:r>
            <w:r w:rsidRPr="00C44EE6">
              <w:rPr>
                <w:i/>
                <w:sz w:val="24"/>
              </w:rPr>
              <w:t xml:space="preserve">г. по сравнению с 2020г. численность студентов в ВУЗах области сократилась на </w:t>
            </w:r>
            <w:r w:rsidRPr="00C44EE6">
              <w:rPr>
                <w:i/>
                <w:sz w:val="24"/>
                <w:lang w:val="ky-KG"/>
              </w:rPr>
              <w:t>1,1</w:t>
            </w:r>
            <w:r w:rsidRPr="00C44EE6">
              <w:rPr>
                <w:i/>
                <w:sz w:val="24"/>
              </w:rPr>
              <w:t xml:space="preserve"> процентов </w:t>
            </w:r>
            <w:r w:rsidRPr="00C44EE6">
              <w:rPr>
                <w:i/>
                <w:sz w:val="24"/>
                <w:lang w:val="ky-KG"/>
              </w:rPr>
              <w:t>больше</w:t>
            </w:r>
            <w:r w:rsidRPr="00C44EE6">
              <w:rPr>
                <w:i/>
                <w:sz w:val="24"/>
              </w:rPr>
              <w:t xml:space="preserve">, в образовательных организациях среднего профессионального образования на </w:t>
            </w:r>
            <w:r w:rsidRPr="00C44EE6">
              <w:rPr>
                <w:i/>
                <w:sz w:val="24"/>
                <w:lang w:val="ky-KG"/>
              </w:rPr>
              <w:t>1,1</w:t>
            </w:r>
            <w:r w:rsidRPr="00C44EE6">
              <w:rPr>
                <w:i/>
                <w:sz w:val="24"/>
              </w:rPr>
              <w:t xml:space="preserve"> процентов </w:t>
            </w:r>
            <w:r w:rsidRPr="00C44EE6">
              <w:rPr>
                <w:i/>
                <w:sz w:val="24"/>
                <w:lang w:val="ky-KG"/>
              </w:rPr>
              <w:t>меньше</w:t>
            </w:r>
            <w:r w:rsidRPr="00C44EE6">
              <w:rPr>
                <w:i/>
                <w:sz w:val="24"/>
              </w:rPr>
              <w:t>, а в образовательные организации начального профессионального образования</w:t>
            </w:r>
            <w:r w:rsidRPr="00C44EE6">
              <w:rPr>
                <w:i/>
                <w:sz w:val="24"/>
                <w:lang w:val="ky-KG"/>
              </w:rPr>
              <w:t xml:space="preserve">, </w:t>
            </w:r>
            <w:r w:rsidRPr="00C44EE6">
              <w:rPr>
                <w:i/>
                <w:sz w:val="24"/>
              </w:rPr>
              <w:t>численность студентов возросла на 0,9 процентов</w:t>
            </w:r>
            <w:r w:rsidRPr="00C44EE6">
              <w:rPr>
                <w:i/>
                <w:sz w:val="24"/>
                <w:lang w:val="ky-KG"/>
              </w:rPr>
              <w:t xml:space="preserve"> </w:t>
            </w:r>
            <w:proofErr w:type="gramStart"/>
            <w:r w:rsidRPr="00C44EE6">
              <w:rPr>
                <w:i/>
                <w:sz w:val="24"/>
                <w:lang w:val="ky-KG"/>
              </w:rPr>
              <w:t>менше..</w:t>
            </w:r>
            <w:proofErr w:type="gramEnd"/>
          </w:p>
        </w:tc>
      </w:tr>
      <w:tr w:rsidR="00C44EE6" w:rsidRPr="00C44EE6" w14:paraId="675ED5D5" w14:textId="77777777" w:rsidTr="0044137F">
        <w:tc>
          <w:tcPr>
            <w:tcW w:w="4677" w:type="dxa"/>
          </w:tcPr>
          <w:p w14:paraId="4F38169E" w14:textId="6353B858" w:rsidR="006F7362" w:rsidRPr="00C44EE6" w:rsidRDefault="006F7362" w:rsidP="006F7362">
            <w:pPr>
              <w:jc w:val="both"/>
              <w:rPr>
                <w:b/>
                <w:sz w:val="24"/>
                <w:lang w:val="ky-KG"/>
              </w:rPr>
            </w:pPr>
            <w:r w:rsidRPr="00C44EE6">
              <w:rPr>
                <w:sz w:val="24"/>
                <w:lang w:val="ky-KG"/>
              </w:rPr>
              <w:t>Жогорку профессионалдык билим берүүчү уюмдарда бир мугалимге 20 студент, орто профессионалдык билим берүү уюмдарда</w:t>
            </w:r>
            <w:r w:rsidRPr="00C44EE6">
              <w:rPr>
                <w:sz w:val="24"/>
              </w:rPr>
              <w:t xml:space="preserve">  </w:t>
            </w:r>
            <w:r w:rsidRPr="00C44EE6">
              <w:rPr>
                <w:sz w:val="24"/>
                <w:lang w:val="ky-KG"/>
              </w:rPr>
              <w:t>17 студент,</w:t>
            </w:r>
            <w:r w:rsidRPr="00C44EE6">
              <w:rPr>
                <w:sz w:val="24"/>
              </w:rPr>
              <w:t xml:space="preserve"> </w:t>
            </w:r>
            <w:r w:rsidRPr="00C44EE6">
              <w:rPr>
                <w:sz w:val="24"/>
                <w:lang w:val="ky-KG"/>
              </w:rPr>
              <w:t>башталгыч профессионалдык билим берүү уюмдарына</w:t>
            </w:r>
            <w:r w:rsidRPr="00C44EE6">
              <w:rPr>
                <w:sz w:val="24"/>
              </w:rPr>
              <w:t xml:space="preserve">  </w:t>
            </w:r>
            <w:r w:rsidRPr="00C44EE6">
              <w:rPr>
                <w:sz w:val="24"/>
                <w:lang w:val="ky-KG"/>
              </w:rPr>
              <w:t>5</w:t>
            </w:r>
            <w:r w:rsidRPr="00C44EE6">
              <w:rPr>
                <w:sz w:val="24"/>
              </w:rPr>
              <w:t xml:space="preserve"> студент</w:t>
            </w:r>
            <w:r w:rsidRPr="00C44EE6">
              <w:rPr>
                <w:sz w:val="24"/>
                <w:lang w:val="ky-KG"/>
              </w:rPr>
              <w:t>тен туура келет</w:t>
            </w:r>
            <w:r w:rsidRPr="00C44EE6">
              <w:rPr>
                <w:sz w:val="24"/>
              </w:rPr>
              <w:t>.</w:t>
            </w:r>
          </w:p>
        </w:tc>
        <w:tc>
          <w:tcPr>
            <w:tcW w:w="4820" w:type="dxa"/>
          </w:tcPr>
          <w:p w14:paraId="35C87C8C" w14:textId="2BE87588" w:rsidR="006F7362" w:rsidRPr="00C44EE6" w:rsidRDefault="006F7362" w:rsidP="006F7362">
            <w:pPr>
              <w:jc w:val="both"/>
              <w:rPr>
                <w:b/>
                <w:i/>
                <w:sz w:val="24"/>
                <w:lang w:val="ky-KG"/>
              </w:rPr>
            </w:pPr>
            <w:r w:rsidRPr="00C44EE6">
              <w:rPr>
                <w:i/>
                <w:sz w:val="24"/>
              </w:rPr>
              <w:t>На одного преподавателя в образовательные организации высшего профессионального образования, области приходится 20 студентов,</w:t>
            </w:r>
            <w:r w:rsidRPr="00C44EE6">
              <w:rPr>
                <w:i/>
                <w:sz w:val="24"/>
                <w:lang w:val="ky-KG"/>
              </w:rPr>
              <w:t xml:space="preserve"> </w:t>
            </w:r>
            <w:r w:rsidRPr="00C44EE6">
              <w:rPr>
                <w:i/>
                <w:sz w:val="24"/>
              </w:rPr>
              <w:t xml:space="preserve">образовательные организации среднего профессионального образования средних специальных учебных </w:t>
            </w:r>
            <w:proofErr w:type="gramStart"/>
            <w:r w:rsidRPr="00C44EE6">
              <w:rPr>
                <w:i/>
                <w:sz w:val="24"/>
              </w:rPr>
              <w:t>заведениях  17</w:t>
            </w:r>
            <w:r w:rsidRPr="00C44EE6">
              <w:rPr>
                <w:i/>
                <w:sz w:val="24"/>
                <w:lang w:val="ky-KG"/>
              </w:rPr>
              <w:t xml:space="preserve"> ,</w:t>
            </w:r>
            <w:r w:rsidRPr="00C44EE6">
              <w:rPr>
                <w:i/>
                <w:sz w:val="24"/>
              </w:rPr>
              <w:t>а</w:t>
            </w:r>
            <w:proofErr w:type="gramEnd"/>
            <w:r w:rsidRPr="00C44EE6">
              <w:rPr>
                <w:i/>
                <w:sz w:val="24"/>
              </w:rPr>
              <w:t xml:space="preserve"> в образовательные организации начального </w:t>
            </w:r>
            <w:proofErr w:type="spellStart"/>
            <w:r w:rsidRPr="00C44EE6">
              <w:rPr>
                <w:i/>
                <w:sz w:val="24"/>
              </w:rPr>
              <w:t>профессинального</w:t>
            </w:r>
            <w:proofErr w:type="spellEnd"/>
            <w:r w:rsidRPr="00C44EE6">
              <w:rPr>
                <w:i/>
                <w:sz w:val="24"/>
              </w:rPr>
              <w:t xml:space="preserve"> </w:t>
            </w:r>
            <w:proofErr w:type="gramStart"/>
            <w:r w:rsidRPr="00C44EE6">
              <w:rPr>
                <w:i/>
                <w:sz w:val="24"/>
              </w:rPr>
              <w:t xml:space="preserve">образования  </w:t>
            </w:r>
            <w:r w:rsidRPr="00C44EE6">
              <w:rPr>
                <w:i/>
                <w:sz w:val="24"/>
                <w:lang w:val="ky-KG"/>
              </w:rPr>
              <w:t>5</w:t>
            </w:r>
            <w:proofErr w:type="gramEnd"/>
            <w:r w:rsidRPr="00C44EE6">
              <w:rPr>
                <w:i/>
                <w:sz w:val="24"/>
              </w:rPr>
              <w:t xml:space="preserve"> студентов.</w:t>
            </w:r>
          </w:p>
        </w:tc>
      </w:tr>
      <w:tr w:rsidR="00D03CFA" w:rsidRPr="00C44EE6" w14:paraId="03429246" w14:textId="77777777" w:rsidTr="0044137F">
        <w:tc>
          <w:tcPr>
            <w:tcW w:w="4677" w:type="dxa"/>
          </w:tcPr>
          <w:p w14:paraId="6C49EAF4" w14:textId="6353CD94" w:rsidR="00D03CFA" w:rsidRPr="00C44EE6" w:rsidRDefault="00D03CFA" w:rsidP="00D03CFA">
            <w:pPr>
              <w:jc w:val="both"/>
              <w:rPr>
                <w:b/>
                <w:sz w:val="24"/>
                <w:lang w:val="ky-KG"/>
              </w:rPr>
            </w:pPr>
            <w:r w:rsidRPr="00C44EE6">
              <w:rPr>
                <w:b/>
                <w:sz w:val="24"/>
                <w:lang w:val="ky-KG"/>
              </w:rPr>
              <w:t>Жалпы билим берүүчү мектептерде окуган балдардын саны 2020-2024-ж.карата</w:t>
            </w:r>
          </w:p>
        </w:tc>
        <w:tc>
          <w:tcPr>
            <w:tcW w:w="4820" w:type="dxa"/>
          </w:tcPr>
          <w:p w14:paraId="77DE8E0C" w14:textId="77777777" w:rsidR="00D03CFA" w:rsidRPr="00C44EE6" w:rsidRDefault="00D03CFA" w:rsidP="00D03CFA">
            <w:pPr>
              <w:jc w:val="center"/>
              <w:rPr>
                <w:b/>
                <w:i/>
                <w:sz w:val="24"/>
              </w:rPr>
            </w:pPr>
            <w:r w:rsidRPr="00C44EE6">
              <w:rPr>
                <w:b/>
                <w:i/>
                <w:sz w:val="24"/>
              </w:rPr>
              <w:t>Численность обучающихся детей в общеобразовательных</w:t>
            </w:r>
          </w:p>
          <w:p w14:paraId="6AC784E7" w14:textId="2FFC5753" w:rsidR="00D03CFA" w:rsidRPr="00C44EE6" w:rsidRDefault="00D03CFA" w:rsidP="00D03CFA">
            <w:pPr>
              <w:rPr>
                <w:b/>
                <w:i/>
                <w:sz w:val="24"/>
                <w:lang w:val="ky-KG"/>
              </w:rPr>
            </w:pPr>
            <w:r w:rsidRPr="00C44EE6">
              <w:rPr>
                <w:b/>
                <w:i/>
                <w:sz w:val="24"/>
              </w:rPr>
              <w:t>школах за 2020-20</w:t>
            </w:r>
            <w:r w:rsidRPr="00C44EE6">
              <w:rPr>
                <w:b/>
                <w:i/>
                <w:sz w:val="24"/>
                <w:lang w:val="ky-KG"/>
              </w:rPr>
              <w:t>24г</w:t>
            </w:r>
            <w:r w:rsidRPr="00C44EE6">
              <w:rPr>
                <w:b/>
                <w:i/>
                <w:sz w:val="24"/>
              </w:rPr>
              <w:t>г.</w:t>
            </w:r>
          </w:p>
        </w:tc>
      </w:tr>
    </w:tbl>
    <w:p w14:paraId="4EC03BB2" w14:textId="11100B99" w:rsidR="00416B4D" w:rsidRPr="00C44EE6" w:rsidRDefault="00416B4D">
      <w:pPr>
        <w:rPr>
          <w:lang w:val="ky-KG"/>
        </w:rPr>
      </w:pPr>
    </w:p>
    <w:p w14:paraId="1E0DAE52" w14:textId="75E6C4EA" w:rsidR="00416B4D" w:rsidRPr="00C44EE6" w:rsidRDefault="00416B4D">
      <w:pPr>
        <w:rPr>
          <w:lang w:val="ky-KG"/>
        </w:rPr>
      </w:pPr>
    </w:p>
    <w:p w14:paraId="7238A550" w14:textId="478C5499" w:rsidR="00416B4D" w:rsidRPr="00C44EE6" w:rsidRDefault="001C3D92">
      <w:pPr>
        <w:rPr>
          <w:lang w:val="ky-KG"/>
        </w:rPr>
      </w:pPr>
      <w:r w:rsidRPr="00C44EE6">
        <w:rPr>
          <w:b/>
          <w:noProof/>
          <w:sz w:val="24"/>
        </w:rPr>
        <w:drawing>
          <wp:inline distT="0" distB="0" distL="0" distR="0" wp14:anchorId="6D964A4B" wp14:editId="39AD21D9">
            <wp:extent cx="5221842" cy="2558955"/>
            <wp:effectExtent l="19050" t="0" r="16908" b="0"/>
            <wp:docPr id="16"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43B01C46" w14:textId="77777777" w:rsidR="00416B4D" w:rsidRPr="00C44EE6" w:rsidRDefault="00416B4D">
      <w:pPr>
        <w:rPr>
          <w:lang w:val="ky-KG"/>
        </w:rPr>
      </w:pPr>
    </w:p>
    <w:p w14:paraId="7A1CD7D4" w14:textId="77777777" w:rsidR="00416B4D" w:rsidRPr="00C44EE6" w:rsidRDefault="00416B4D">
      <w:pPr>
        <w:rPr>
          <w:lang w:val="ky-KG"/>
        </w:rPr>
      </w:pPr>
    </w:p>
    <w:p w14:paraId="346990EB" w14:textId="77777777" w:rsidR="00416B4D" w:rsidRPr="00C44EE6" w:rsidRDefault="00416B4D">
      <w:pPr>
        <w:rPr>
          <w:lang w:val="ky-KG"/>
        </w:rPr>
      </w:pPr>
    </w:p>
    <w:p w14:paraId="23884EB3" w14:textId="77777777" w:rsidR="00416B4D" w:rsidRPr="00C44EE6" w:rsidRDefault="00416B4D">
      <w:pPr>
        <w:rPr>
          <w:lang w:val="ky-KG"/>
        </w:rPr>
      </w:pPr>
    </w:p>
    <w:p w14:paraId="0FCFF47A" w14:textId="77777777" w:rsidR="00416B4D" w:rsidRPr="00C44EE6" w:rsidRDefault="00416B4D">
      <w:pPr>
        <w:rPr>
          <w:lang w:val="ky-KG"/>
        </w:rPr>
      </w:pPr>
    </w:p>
    <w:p w14:paraId="0F8B9F15" w14:textId="77777777" w:rsidR="00416B4D" w:rsidRPr="00C44EE6" w:rsidRDefault="00416B4D">
      <w:pPr>
        <w:rPr>
          <w:lang w:val="ky-KG"/>
        </w:rPr>
      </w:pPr>
    </w:p>
    <w:p w14:paraId="3419E8D6" w14:textId="77777777" w:rsidR="00416B4D" w:rsidRPr="00C44EE6" w:rsidRDefault="00416B4D">
      <w:pPr>
        <w:rPr>
          <w:lang w:val="ky-KG"/>
        </w:rPr>
      </w:pPr>
    </w:p>
    <w:p w14:paraId="42D0D103" w14:textId="77777777" w:rsidR="00416B4D" w:rsidRPr="00C44EE6" w:rsidRDefault="00416B4D">
      <w:pPr>
        <w:rPr>
          <w:lang w:val="ky-KG"/>
        </w:rPr>
      </w:pPr>
    </w:p>
    <w:p w14:paraId="77EFECBC" w14:textId="77777777" w:rsidR="00416B4D" w:rsidRPr="00C44EE6" w:rsidRDefault="00416B4D">
      <w:pPr>
        <w:rPr>
          <w:lang w:val="ky-KG"/>
        </w:rPr>
      </w:pPr>
    </w:p>
    <w:p w14:paraId="7267F437" w14:textId="77777777" w:rsidR="00416B4D" w:rsidRPr="00C44EE6" w:rsidRDefault="00416B4D">
      <w:pPr>
        <w:rPr>
          <w:lang w:val="ky-KG"/>
        </w:rPr>
      </w:pPr>
    </w:p>
    <w:p w14:paraId="35FEAB33" w14:textId="77777777" w:rsidR="00416B4D" w:rsidRPr="00C44EE6" w:rsidRDefault="00416B4D">
      <w:pPr>
        <w:rPr>
          <w:lang w:val="ky-KG"/>
        </w:rPr>
      </w:pPr>
    </w:p>
    <w:p w14:paraId="7BB30276" w14:textId="77777777" w:rsidR="00416B4D" w:rsidRPr="00C44EE6" w:rsidRDefault="00416B4D">
      <w:pPr>
        <w:rPr>
          <w:lang w:val="ky-KG"/>
        </w:rPr>
      </w:pPr>
    </w:p>
    <w:p w14:paraId="499484F1" w14:textId="77777777" w:rsidR="00416B4D" w:rsidRPr="00C44EE6" w:rsidRDefault="00416B4D">
      <w:pPr>
        <w:rPr>
          <w:lang w:val="ky-KG"/>
        </w:rPr>
      </w:pPr>
    </w:p>
    <w:p w14:paraId="2A2BAFA5" w14:textId="77777777" w:rsidR="00416B4D" w:rsidRPr="00C44EE6" w:rsidRDefault="00416B4D">
      <w:pPr>
        <w:rPr>
          <w:lang w:val="ky-KG"/>
        </w:rPr>
      </w:pPr>
    </w:p>
    <w:p w14:paraId="76DB1294" w14:textId="77777777" w:rsidR="00416B4D" w:rsidRPr="00C44EE6" w:rsidRDefault="00416B4D">
      <w:pPr>
        <w:rPr>
          <w:lang w:val="ky-KG"/>
        </w:rPr>
      </w:pPr>
    </w:p>
    <w:tbl>
      <w:tblPr>
        <w:tblW w:w="9497" w:type="dxa"/>
        <w:tblInd w:w="250" w:type="dxa"/>
        <w:tblLook w:val="04A0" w:firstRow="1" w:lastRow="0" w:firstColumn="1" w:lastColumn="0" w:noHBand="0" w:noVBand="1"/>
      </w:tblPr>
      <w:tblGrid>
        <w:gridCol w:w="4677"/>
        <w:gridCol w:w="4820"/>
      </w:tblGrid>
      <w:tr w:rsidR="00C44EE6" w:rsidRPr="00C44EE6" w14:paraId="716C5D95" w14:textId="77777777" w:rsidTr="0044137F">
        <w:tc>
          <w:tcPr>
            <w:tcW w:w="4677" w:type="dxa"/>
          </w:tcPr>
          <w:p w14:paraId="7CCF3AA7" w14:textId="77777777" w:rsidR="00D03CFA" w:rsidRPr="00C44EE6" w:rsidRDefault="00D03CFA" w:rsidP="00D03CFA">
            <w:pPr>
              <w:ind w:firstLine="708"/>
              <w:jc w:val="both"/>
              <w:rPr>
                <w:sz w:val="24"/>
                <w:lang w:val="ky-KG"/>
              </w:rPr>
            </w:pPr>
            <w:r w:rsidRPr="00C44EE6">
              <w:rPr>
                <w:b/>
                <w:sz w:val="24"/>
                <w:lang w:val="ky-KG"/>
              </w:rPr>
              <w:t>Турак жай фонду</w:t>
            </w:r>
            <w:r w:rsidRPr="00C44EE6">
              <w:rPr>
                <w:sz w:val="24"/>
                <w:lang w:val="ky-KG"/>
              </w:rPr>
              <w:t xml:space="preserve">. 2024-жылы турак жай фондунун жалпы аянты  </w:t>
            </w:r>
          </w:p>
          <w:p w14:paraId="350A1D24" w14:textId="77777777" w:rsidR="00D03CFA" w:rsidRPr="00C44EE6" w:rsidRDefault="00D03CFA" w:rsidP="00D03CFA">
            <w:pPr>
              <w:jc w:val="both"/>
              <w:rPr>
                <w:sz w:val="24"/>
                <w:lang w:val="ky-KG"/>
              </w:rPr>
            </w:pPr>
            <w:r w:rsidRPr="00C44EE6">
              <w:rPr>
                <w:rFonts w:ascii="Times New Roman CYR" w:hAnsi="Times New Roman CYR" w:cs="Times New Roman CYR"/>
                <w:sz w:val="22"/>
                <w:szCs w:val="22"/>
                <w:lang w:val="ky-KG"/>
              </w:rPr>
              <w:t>2024-жылы</w:t>
            </w:r>
            <w:r w:rsidRPr="00C44EE6">
              <w:rPr>
                <w:rFonts w:ascii="Times New Roman CYR" w:hAnsi="Times New Roman CYR" w:cs="Times New Roman CYR"/>
                <w:b/>
                <w:bCs/>
                <w:sz w:val="22"/>
                <w:szCs w:val="22"/>
                <w:lang w:val="ky-KG"/>
              </w:rPr>
              <w:t xml:space="preserve"> </w:t>
            </w:r>
            <w:r w:rsidRPr="00C44EE6">
              <w:rPr>
                <w:rFonts w:ascii="Times New Roman CYR" w:hAnsi="Times New Roman CYR" w:cs="Times New Roman CYR"/>
                <w:sz w:val="22"/>
                <w:szCs w:val="22"/>
                <w:lang w:val="ky-KG"/>
              </w:rPr>
              <w:t>18491007</w:t>
            </w:r>
            <w:r w:rsidRPr="00C44EE6">
              <w:rPr>
                <w:rFonts w:ascii="Times New Roman CYR" w:hAnsi="Times New Roman CYR" w:cs="Times New Roman CYR"/>
                <w:b/>
                <w:bCs/>
                <w:sz w:val="22"/>
                <w:szCs w:val="22"/>
                <w:lang w:val="ky-KG"/>
              </w:rPr>
              <w:t xml:space="preserve"> </w:t>
            </w:r>
            <w:r w:rsidRPr="00C44EE6">
              <w:rPr>
                <w:sz w:val="22"/>
                <w:szCs w:val="22"/>
                <w:lang w:val="ky-KG"/>
              </w:rPr>
              <w:t>чарчы</w:t>
            </w:r>
            <w:r w:rsidRPr="00C44EE6">
              <w:rPr>
                <w:sz w:val="24"/>
                <w:lang w:val="ky-KG"/>
              </w:rPr>
              <w:t xml:space="preserve"> метрди түзсө, ал эми 2023-жылы 18140599 чарчы метрди түзүп, 2024-жылы көбөйгөндүгү байкалган, анын ичинде турак жай аянты тиешелүү түрдө </w:t>
            </w:r>
          </w:p>
          <w:p w14:paraId="67CB5746" w14:textId="600CCD4F" w:rsidR="00D03CFA" w:rsidRPr="00C44EE6" w:rsidRDefault="00D03CFA" w:rsidP="00D03CFA">
            <w:pPr>
              <w:jc w:val="both"/>
              <w:rPr>
                <w:b/>
                <w:sz w:val="24"/>
                <w:lang w:val="ky-KG"/>
              </w:rPr>
            </w:pPr>
            <w:r w:rsidRPr="00C44EE6">
              <w:rPr>
                <w:sz w:val="24"/>
                <w:lang w:val="ky-KG"/>
              </w:rPr>
              <w:t>10153082 чарчы метрди түзгөн. Облустун шаар жеринде турак жай фондунун  пайызы 22,2 ал эми айыл жеринде 77,0 пайызы орун алган. Акыркы беш жылда турак жай фондунун жалпы аянты 18491007 чарчы метрге, же 105,0 пайызга өскөн.</w:t>
            </w:r>
          </w:p>
        </w:tc>
        <w:tc>
          <w:tcPr>
            <w:tcW w:w="4820" w:type="dxa"/>
          </w:tcPr>
          <w:p w14:paraId="7EDFF950" w14:textId="0E4ADC79" w:rsidR="00D03CFA" w:rsidRPr="00C44EE6" w:rsidRDefault="00D03CFA" w:rsidP="00D03CFA">
            <w:pPr>
              <w:jc w:val="both"/>
              <w:rPr>
                <w:b/>
                <w:i/>
                <w:sz w:val="24"/>
              </w:rPr>
            </w:pPr>
            <w:r w:rsidRPr="00C44EE6">
              <w:rPr>
                <w:b/>
                <w:i/>
                <w:sz w:val="24"/>
              </w:rPr>
              <w:t>Жилищный фонд</w:t>
            </w:r>
            <w:r w:rsidRPr="00C44EE6">
              <w:rPr>
                <w:i/>
                <w:sz w:val="24"/>
              </w:rPr>
              <w:t>.  Общая площадь жилищного фонда в 20</w:t>
            </w:r>
            <w:r w:rsidRPr="00C44EE6">
              <w:rPr>
                <w:i/>
                <w:sz w:val="24"/>
                <w:lang w:val="ky-KG"/>
              </w:rPr>
              <w:t>24</w:t>
            </w:r>
            <w:r w:rsidRPr="00C44EE6">
              <w:rPr>
                <w:i/>
                <w:sz w:val="24"/>
              </w:rPr>
              <w:t xml:space="preserve"> году</w:t>
            </w:r>
            <w:r w:rsidRPr="00C44EE6">
              <w:rPr>
                <w:i/>
                <w:sz w:val="24"/>
                <w:lang w:val="ky-KG"/>
              </w:rPr>
              <w:t xml:space="preserve"> 18140599</w:t>
            </w:r>
            <w:r w:rsidRPr="00C44EE6">
              <w:rPr>
                <w:i/>
                <w:sz w:val="24"/>
              </w:rPr>
              <w:t xml:space="preserve"> по сравнению с 20</w:t>
            </w:r>
            <w:r w:rsidRPr="00C44EE6">
              <w:rPr>
                <w:i/>
                <w:sz w:val="24"/>
                <w:lang w:val="ky-KG"/>
              </w:rPr>
              <w:t>23</w:t>
            </w:r>
            <w:r w:rsidRPr="00C44EE6">
              <w:rPr>
                <w:i/>
                <w:sz w:val="24"/>
              </w:rPr>
              <w:t xml:space="preserve"> годом увеличилась </w:t>
            </w:r>
            <w:r w:rsidRPr="00C44EE6">
              <w:rPr>
                <w:i/>
                <w:sz w:val="24"/>
                <w:lang w:val="ky-KG"/>
              </w:rPr>
              <w:t>и</w:t>
            </w:r>
            <w:r w:rsidRPr="00C44EE6">
              <w:rPr>
                <w:i/>
                <w:sz w:val="24"/>
              </w:rPr>
              <w:t xml:space="preserve"> составила 18140599 квадратный метр, в том числе жилая площадь, соответственно и 10153082 квадратных метров. В городской местности области находится </w:t>
            </w:r>
            <w:r w:rsidRPr="00C44EE6">
              <w:rPr>
                <w:i/>
                <w:sz w:val="24"/>
                <w:lang w:val="ky-KG"/>
              </w:rPr>
              <w:t>22,2</w:t>
            </w:r>
            <w:r w:rsidRPr="00C44EE6">
              <w:rPr>
                <w:i/>
                <w:sz w:val="24"/>
              </w:rPr>
              <w:t xml:space="preserve"> процента жилищного фонда, а в сельской – </w:t>
            </w:r>
            <w:r w:rsidRPr="00C44EE6">
              <w:rPr>
                <w:i/>
                <w:sz w:val="24"/>
                <w:lang w:val="ky-KG"/>
              </w:rPr>
              <w:t>77,0</w:t>
            </w:r>
            <w:r w:rsidRPr="00C44EE6">
              <w:rPr>
                <w:i/>
                <w:sz w:val="24"/>
              </w:rPr>
              <w:t xml:space="preserve"> процентов. За последние пять лет общая площадь жилищного фонда возросла на </w:t>
            </w:r>
            <w:r w:rsidRPr="00C44EE6">
              <w:rPr>
                <w:i/>
                <w:sz w:val="24"/>
                <w:lang w:val="ky-KG"/>
              </w:rPr>
              <w:t>18491007</w:t>
            </w:r>
            <w:r w:rsidRPr="00C44EE6">
              <w:rPr>
                <w:i/>
                <w:sz w:val="24"/>
              </w:rPr>
              <w:t xml:space="preserve"> квадратных метров, или на 1</w:t>
            </w:r>
            <w:r w:rsidRPr="00C44EE6">
              <w:rPr>
                <w:i/>
                <w:sz w:val="24"/>
                <w:lang w:val="ky-KG"/>
              </w:rPr>
              <w:t>05,0</w:t>
            </w:r>
            <w:r w:rsidRPr="00C44EE6">
              <w:rPr>
                <w:i/>
                <w:sz w:val="24"/>
              </w:rPr>
              <w:t xml:space="preserve"> процентов.</w:t>
            </w:r>
          </w:p>
        </w:tc>
      </w:tr>
      <w:tr w:rsidR="00C44EE6" w:rsidRPr="00C44EE6" w14:paraId="7582E8E5" w14:textId="77777777" w:rsidTr="0044137F">
        <w:tc>
          <w:tcPr>
            <w:tcW w:w="4677" w:type="dxa"/>
          </w:tcPr>
          <w:p w14:paraId="621474C6" w14:textId="7298CB83" w:rsidR="00D03CFA" w:rsidRPr="00C44EE6" w:rsidRDefault="00D03CFA" w:rsidP="00D03CFA">
            <w:pPr>
              <w:jc w:val="both"/>
              <w:rPr>
                <w:b/>
                <w:sz w:val="24"/>
                <w:lang w:val="ky-KG"/>
              </w:rPr>
            </w:pPr>
            <w:proofErr w:type="spellStart"/>
            <w:r w:rsidRPr="00C44EE6">
              <w:rPr>
                <w:sz w:val="24"/>
              </w:rPr>
              <w:t>Турак</w:t>
            </w:r>
            <w:proofErr w:type="spellEnd"/>
            <w:r w:rsidRPr="00C44EE6">
              <w:rPr>
                <w:sz w:val="24"/>
              </w:rPr>
              <w:t xml:space="preserve"> </w:t>
            </w:r>
            <w:proofErr w:type="spellStart"/>
            <w:r w:rsidRPr="00C44EE6">
              <w:rPr>
                <w:sz w:val="24"/>
              </w:rPr>
              <w:t>жай</w:t>
            </w:r>
            <w:proofErr w:type="spellEnd"/>
            <w:r w:rsidRPr="00C44EE6">
              <w:rPr>
                <w:sz w:val="24"/>
              </w:rPr>
              <w:t xml:space="preserve"> </w:t>
            </w:r>
            <w:proofErr w:type="spellStart"/>
            <w:r w:rsidRPr="00C44EE6">
              <w:rPr>
                <w:sz w:val="24"/>
              </w:rPr>
              <w:t>фондунун</w:t>
            </w:r>
            <w:proofErr w:type="spellEnd"/>
            <w:r w:rsidRPr="00C44EE6">
              <w:rPr>
                <w:sz w:val="24"/>
              </w:rPr>
              <w:t xml:space="preserve"> </w:t>
            </w:r>
            <w:proofErr w:type="spellStart"/>
            <w:r w:rsidRPr="00C44EE6">
              <w:rPr>
                <w:sz w:val="24"/>
              </w:rPr>
              <w:t>жалпы</w:t>
            </w:r>
            <w:proofErr w:type="spellEnd"/>
            <w:r w:rsidRPr="00C44EE6">
              <w:rPr>
                <w:sz w:val="24"/>
              </w:rPr>
              <w:t xml:space="preserve"> </w:t>
            </w:r>
            <w:proofErr w:type="spellStart"/>
            <w:r w:rsidRPr="00C44EE6">
              <w:rPr>
                <w:sz w:val="24"/>
              </w:rPr>
              <w:t>аянтынын</w:t>
            </w:r>
            <w:proofErr w:type="spellEnd"/>
            <w:r w:rsidRPr="00C44EE6">
              <w:rPr>
                <w:sz w:val="24"/>
              </w:rPr>
              <w:t xml:space="preserve"> </w:t>
            </w:r>
            <w:proofErr w:type="spellStart"/>
            <w:r w:rsidRPr="00C44EE6">
              <w:rPr>
                <w:sz w:val="24"/>
              </w:rPr>
              <w:t>салыштырма</w:t>
            </w:r>
            <w:proofErr w:type="spellEnd"/>
            <w:r w:rsidRPr="00C44EE6">
              <w:rPr>
                <w:sz w:val="24"/>
              </w:rPr>
              <w:t xml:space="preserve"> </w:t>
            </w:r>
            <w:proofErr w:type="spellStart"/>
            <w:r w:rsidRPr="00C44EE6">
              <w:rPr>
                <w:sz w:val="24"/>
              </w:rPr>
              <w:t>салмагынын</w:t>
            </w:r>
            <w:proofErr w:type="spellEnd"/>
            <w:r w:rsidRPr="00C44EE6">
              <w:rPr>
                <w:sz w:val="24"/>
              </w:rPr>
              <w:t xml:space="preserve"> </w:t>
            </w:r>
            <w:proofErr w:type="spellStart"/>
            <w:r w:rsidRPr="00C44EE6">
              <w:rPr>
                <w:sz w:val="24"/>
              </w:rPr>
              <w:t>негизги</w:t>
            </w:r>
            <w:proofErr w:type="spellEnd"/>
            <w:r w:rsidRPr="00C44EE6">
              <w:rPr>
                <w:sz w:val="24"/>
              </w:rPr>
              <w:t xml:space="preserve"> </w:t>
            </w:r>
            <w:proofErr w:type="spellStart"/>
            <w:r w:rsidRPr="00C44EE6">
              <w:rPr>
                <w:sz w:val="24"/>
              </w:rPr>
              <w:t>үлүшү</w:t>
            </w:r>
            <w:proofErr w:type="spellEnd"/>
            <w:r w:rsidRPr="00C44EE6">
              <w:rPr>
                <w:sz w:val="24"/>
              </w:rPr>
              <w:t xml:space="preserve"> </w:t>
            </w:r>
            <w:proofErr w:type="spellStart"/>
            <w:r w:rsidRPr="00C44EE6">
              <w:rPr>
                <w:sz w:val="24"/>
              </w:rPr>
              <w:t>жеке</w:t>
            </w:r>
            <w:proofErr w:type="spellEnd"/>
            <w:r w:rsidRPr="00C44EE6">
              <w:rPr>
                <w:sz w:val="24"/>
              </w:rPr>
              <w:t xml:space="preserve"> </w:t>
            </w:r>
            <w:proofErr w:type="spellStart"/>
            <w:r w:rsidRPr="00C44EE6">
              <w:rPr>
                <w:sz w:val="24"/>
              </w:rPr>
              <w:t>секторго</w:t>
            </w:r>
            <w:proofErr w:type="spellEnd"/>
            <w:r w:rsidRPr="00C44EE6">
              <w:rPr>
                <w:sz w:val="24"/>
              </w:rPr>
              <w:t xml:space="preserve"> </w:t>
            </w:r>
            <w:proofErr w:type="spellStart"/>
            <w:r w:rsidRPr="00C44EE6">
              <w:rPr>
                <w:sz w:val="24"/>
              </w:rPr>
              <w:t>туура</w:t>
            </w:r>
            <w:proofErr w:type="spellEnd"/>
            <w:r w:rsidRPr="00C44EE6">
              <w:rPr>
                <w:sz w:val="24"/>
              </w:rPr>
              <w:t xml:space="preserve"> </w:t>
            </w:r>
            <w:proofErr w:type="spellStart"/>
            <w:r w:rsidRPr="00C44EE6">
              <w:rPr>
                <w:sz w:val="24"/>
              </w:rPr>
              <w:t>келет</w:t>
            </w:r>
            <w:proofErr w:type="spellEnd"/>
            <w:r w:rsidRPr="00C44EE6">
              <w:rPr>
                <w:sz w:val="24"/>
              </w:rPr>
              <w:t>. 20</w:t>
            </w:r>
            <w:r w:rsidRPr="00C44EE6">
              <w:rPr>
                <w:sz w:val="24"/>
                <w:lang w:val="ky-KG"/>
              </w:rPr>
              <w:t>24</w:t>
            </w:r>
            <w:r w:rsidRPr="00C44EE6">
              <w:rPr>
                <w:sz w:val="24"/>
              </w:rPr>
              <w:t>-ж</w:t>
            </w:r>
            <w:r w:rsidRPr="00C44EE6">
              <w:rPr>
                <w:sz w:val="24"/>
                <w:lang w:val="ky-KG"/>
              </w:rPr>
              <w:t>ылы 98,9</w:t>
            </w:r>
            <w:r w:rsidRPr="00C44EE6">
              <w:rPr>
                <w:sz w:val="24"/>
              </w:rPr>
              <w:t xml:space="preserve"> </w:t>
            </w:r>
            <w:proofErr w:type="spellStart"/>
            <w:r w:rsidRPr="00C44EE6">
              <w:rPr>
                <w:sz w:val="24"/>
              </w:rPr>
              <w:t>пайыз</w:t>
            </w:r>
            <w:proofErr w:type="spellEnd"/>
            <w:r w:rsidRPr="00C44EE6">
              <w:rPr>
                <w:sz w:val="24"/>
              </w:rPr>
              <w:t xml:space="preserve"> </w:t>
            </w:r>
            <w:proofErr w:type="spellStart"/>
            <w:r w:rsidRPr="00C44EE6">
              <w:rPr>
                <w:sz w:val="24"/>
              </w:rPr>
              <w:t>жалпы</w:t>
            </w:r>
            <w:proofErr w:type="spellEnd"/>
            <w:r w:rsidRPr="00C44EE6">
              <w:rPr>
                <w:sz w:val="24"/>
              </w:rPr>
              <w:t xml:space="preserve"> </w:t>
            </w:r>
            <w:proofErr w:type="spellStart"/>
            <w:r w:rsidRPr="00C44EE6">
              <w:rPr>
                <w:sz w:val="24"/>
              </w:rPr>
              <w:t>аянты</w:t>
            </w:r>
            <w:proofErr w:type="spellEnd"/>
            <w:r w:rsidRPr="00C44EE6">
              <w:rPr>
                <w:sz w:val="24"/>
              </w:rPr>
              <w:t xml:space="preserve"> </w:t>
            </w:r>
            <w:proofErr w:type="spellStart"/>
            <w:r w:rsidRPr="00C44EE6">
              <w:rPr>
                <w:sz w:val="24"/>
              </w:rPr>
              <w:t>жеке</w:t>
            </w:r>
            <w:proofErr w:type="spellEnd"/>
            <w:r w:rsidRPr="00C44EE6">
              <w:rPr>
                <w:sz w:val="24"/>
              </w:rPr>
              <w:t xml:space="preserve"> </w:t>
            </w:r>
            <w:proofErr w:type="spellStart"/>
            <w:r w:rsidRPr="00C44EE6">
              <w:rPr>
                <w:sz w:val="24"/>
              </w:rPr>
              <w:t>менчи</w:t>
            </w:r>
            <w:proofErr w:type="spellEnd"/>
            <w:r w:rsidRPr="00C44EE6">
              <w:rPr>
                <w:sz w:val="24"/>
                <w:lang w:val="ky-KG"/>
              </w:rPr>
              <w:t>кде</w:t>
            </w:r>
            <w:r w:rsidRPr="00C44EE6">
              <w:rPr>
                <w:sz w:val="24"/>
              </w:rPr>
              <w:t xml:space="preserve"> </w:t>
            </w:r>
            <w:proofErr w:type="spellStart"/>
            <w:r w:rsidRPr="00C44EE6">
              <w:rPr>
                <w:sz w:val="24"/>
              </w:rPr>
              <w:t>болгон</w:t>
            </w:r>
            <w:proofErr w:type="spellEnd"/>
            <w:r w:rsidRPr="00C44EE6">
              <w:rPr>
                <w:sz w:val="24"/>
              </w:rPr>
              <w:t xml:space="preserve">. </w:t>
            </w:r>
            <w:proofErr w:type="spellStart"/>
            <w:r w:rsidRPr="00C44EE6">
              <w:rPr>
                <w:sz w:val="24"/>
              </w:rPr>
              <w:t>Бул</w:t>
            </w:r>
            <w:proofErr w:type="spellEnd"/>
            <w:r w:rsidRPr="00C44EE6">
              <w:rPr>
                <w:sz w:val="24"/>
              </w:rPr>
              <w:t xml:space="preserve"> </w:t>
            </w:r>
            <w:proofErr w:type="spellStart"/>
            <w:r w:rsidRPr="00C44EE6">
              <w:rPr>
                <w:sz w:val="24"/>
              </w:rPr>
              <w:t>негизинен</w:t>
            </w:r>
            <w:proofErr w:type="spellEnd"/>
            <w:r w:rsidRPr="00C44EE6">
              <w:rPr>
                <w:sz w:val="24"/>
              </w:rPr>
              <w:t xml:space="preserve"> </w:t>
            </w:r>
            <w:proofErr w:type="spellStart"/>
            <w:r w:rsidRPr="00C44EE6">
              <w:rPr>
                <w:sz w:val="24"/>
              </w:rPr>
              <w:t>мамлекеттин</w:t>
            </w:r>
            <w:proofErr w:type="spellEnd"/>
            <w:r w:rsidRPr="00C44EE6">
              <w:rPr>
                <w:sz w:val="24"/>
              </w:rPr>
              <w:t xml:space="preserve"> </w:t>
            </w:r>
            <w:proofErr w:type="spellStart"/>
            <w:r w:rsidRPr="00C44EE6">
              <w:rPr>
                <w:sz w:val="24"/>
              </w:rPr>
              <w:t>менчигинде</w:t>
            </w:r>
            <w:proofErr w:type="spellEnd"/>
            <w:r w:rsidRPr="00C44EE6">
              <w:rPr>
                <w:sz w:val="24"/>
              </w:rPr>
              <w:t xml:space="preserve"> </w:t>
            </w:r>
            <w:proofErr w:type="spellStart"/>
            <w:r w:rsidRPr="00C44EE6">
              <w:rPr>
                <w:sz w:val="24"/>
              </w:rPr>
              <w:t>турган</w:t>
            </w:r>
            <w:proofErr w:type="spellEnd"/>
            <w:r w:rsidRPr="00C44EE6">
              <w:rPr>
                <w:sz w:val="24"/>
              </w:rPr>
              <w:t xml:space="preserve"> </w:t>
            </w:r>
            <w:proofErr w:type="spellStart"/>
            <w:r w:rsidRPr="00C44EE6">
              <w:rPr>
                <w:sz w:val="24"/>
              </w:rPr>
              <w:t>турак</w:t>
            </w:r>
            <w:proofErr w:type="spellEnd"/>
            <w:r w:rsidRPr="00C44EE6">
              <w:rPr>
                <w:sz w:val="24"/>
              </w:rPr>
              <w:t xml:space="preserve"> </w:t>
            </w:r>
            <w:proofErr w:type="spellStart"/>
            <w:r w:rsidRPr="00C44EE6">
              <w:rPr>
                <w:sz w:val="24"/>
              </w:rPr>
              <w:t>жайды</w:t>
            </w:r>
            <w:proofErr w:type="spellEnd"/>
            <w:r w:rsidRPr="00C44EE6">
              <w:rPr>
                <w:sz w:val="24"/>
              </w:rPr>
              <w:t xml:space="preserve"> </w:t>
            </w:r>
            <w:proofErr w:type="spellStart"/>
            <w:r w:rsidRPr="00C44EE6">
              <w:rPr>
                <w:sz w:val="24"/>
              </w:rPr>
              <w:t>менчиктештирүүнүн</w:t>
            </w:r>
            <w:proofErr w:type="spellEnd"/>
            <w:r w:rsidRPr="00C44EE6">
              <w:rPr>
                <w:sz w:val="24"/>
              </w:rPr>
              <w:t xml:space="preserve"> </w:t>
            </w:r>
            <w:proofErr w:type="spellStart"/>
            <w:r w:rsidRPr="00C44EE6">
              <w:rPr>
                <w:sz w:val="24"/>
              </w:rPr>
              <w:t>эсебинен</w:t>
            </w:r>
            <w:proofErr w:type="spellEnd"/>
            <w:r w:rsidRPr="00C44EE6">
              <w:rPr>
                <w:sz w:val="24"/>
              </w:rPr>
              <w:t xml:space="preserve">, </w:t>
            </w:r>
            <w:proofErr w:type="spellStart"/>
            <w:r w:rsidRPr="00C44EE6">
              <w:rPr>
                <w:sz w:val="24"/>
              </w:rPr>
              <w:t>акысыз</w:t>
            </w:r>
            <w:proofErr w:type="spellEnd"/>
            <w:r w:rsidRPr="00C44EE6">
              <w:rPr>
                <w:sz w:val="24"/>
              </w:rPr>
              <w:t xml:space="preserve"> же </w:t>
            </w:r>
            <w:proofErr w:type="spellStart"/>
            <w:r w:rsidRPr="00C44EE6">
              <w:rPr>
                <w:sz w:val="24"/>
              </w:rPr>
              <w:t>мейманканалык</w:t>
            </w:r>
            <w:proofErr w:type="spellEnd"/>
            <w:r w:rsidRPr="00C44EE6">
              <w:rPr>
                <w:sz w:val="24"/>
              </w:rPr>
              <w:t xml:space="preserve"> </w:t>
            </w:r>
            <w:proofErr w:type="spellStart"/>
            <w:r w:rsidRPr="00C44EE6">
              <w:rPr>
                <w:sz w:val="24"/>
              </w:rPr>
              <w:t>акы</w:t>
            </w:r>
            <w:proofErr w:type="spellEnd"/>
            <w:r w:rsidRPr="00C44EE6">
              <w:rPr>
                <w:sz w:val="24"/>
              </w:rPr>
              <w:t xml:space="preserve"> </w:t>
            </w:r>
            <w:proofErr w:type="spellStart"/>
            <w:r w:rsidRPr="00C44EE6">
              <w:rPr>
                <w:sz w:val="24"/>
              </w:rPr>
              <w:t>аркылуу</w:t>
            </w:r>
            <w:proofErr w:type="spellEnd"/>
            <w:r w:rsidRPr="00C44EE6">
              <w:rPr>
                <w:sz w:val="24"/>
              </w:rPr>
              <w:t xml:space="preserve"> </w:t>
            </w:r>
            <w:proofErr w:type="spellStart"/>
            <w:r w:rsidRPr="00C44EE6">
              <w:rPr>
                <w:sz w:val="24"/>
              </w:rPr>
              <w:t>болгон</w:t>
            </w:r>
            <w:proofErr w:type="spellEnd"/>
            <w:r w:rsidRPr="00C44EE6">
              <w:rPr>
                <w:sz w:val="24"/>
              </w:rPr>
              <w:t>.</w:t>
            </w:r>
          </w:p>
        </w:tc>
        <w:tc>
          <w:tcPr>
            <w:tcW w:w="4820" w:type="dxa"/>
          </w:tcPr>
          <w:p w14:paraId="45D0C784" w14:textId="2C2419D9" w:rsidR="00D03CFA" w:rsidRPr="00C44EE6" w:rsidRDefault="00D03CFA" w:rsidP="00D03CFA">
            <w:pPr>
              <w:jc w:val="both"/>
              <w:rPr>
                <w:b/>
                <w:i/>
                <w:sz w:val="24"/>
              </w:rPr>
            </w:pPr>
            <w:r w:rsidRPr="00C44EE6">
              <w:rPr>
                <w:i/>
                <w:sz w:val="24"/>
              </w:rPr>
              <w:t xml:space="preserve">Основная доля удельного веса в общей площади жилищного фонда приходится на частный сектор. Так в2024г. </w:t>
            </w:r>
            <w:r w:rsidRPr="00C44EE6">
              <w:rPr>
                <w:i/>
                <w:sz w:val="24"/>
                <w:lang w:val="ky-KG"/>
              </w:rPr>
              <w:t>98,9</w:t>
            </w:r>
            <w:r w:rsidRPr="00C44EE6">
              <w:rPr>
                <w:i/>
                <w:sz w:val="24"/>
              </w:rPr>
              <w:t xml:space="preserve"> процентов общей площади находился в собственности граждан. Это произошло, в основном, за счет приватизации жилья, находящегося в государственной собственности, переданного безвозмездно, или с гостиничной оплатой.</w:t>
            </w:r>
          </w:p>
        </w:tc>
      </w:tr>
      <w:tr w:rsidR="00C44EE6" w:rsidRPr="00C44EE6" w14:paraId="1C490A07" w14:textId="77777777" w:rsidTr="0044137F">
        <w:tc>
          <w:tcPr>
            <w:tcW w:w="4677" w:type="dxa"/>
          </w:tcPr>
          <w:p w14:paraId="6E90E8C3" w14:textId="074FA520" w:rsidR="00D03CFA" w:rsidRPr="00C44EE6" w:rsidRDefault="00D03CFA" w:rsidP="00D03CFA">
            <w:pPr>
              <w:jc w:val="both"/>
              <w:rPr>
                <w:b/>
                <w:sz w:val="24"/>
                <w:lang w:val="ky-KG"/>
              </w:rPr>
            </w:pPr>
            <w:proofErr w:type="spellStart"/>
            <w:r w:rsidRPr="00C44EE6">
              <w:rPr>
                <w:sz w:val="24"/>
              </w:rPr>
              <w:t>Ошондой</w:t>
            </w:r>
            <w:proofErr w:type="spellEnd"/>
            <w:r w:rsidRPr="00C44EE6">
              <w:rPr>
                <w:sz w:val="24"/>
              </w:rPr>
              <w:t xml:space="preserve"> эле, </w:t>
            </w:r>
            <w:proofErr w:type="spellStart"/>
            <w:r w:rsidRPr="00C44EE6">
              <w:rPr>
                <w:sz w:val="24"/>
              </w:rPr>
              <w:t>турак</w:t>
            </w:r>
            <w:proofErr w:type="spellEnd"/>
            <w:r w:rsidRPr="00C44EE6">
              <w:rPr>
                <w:sz w:val="24"/>
              </w:rPr>
              <w:t xml:space="preserve"> </w:t>
            </w:r>
            <w:proofErr w:type="spellStart"/>
            <w:r w:rsidRPr="00C44EE6">
              <w:rPr>
                <w:sz w:val="24"/>
              </w:rPr>
              <w:t>жай</w:t>
            </w:r>
            <w:proofErr w:type="spellEnd"/>
            <w:r w:rsidRPr="00C44EE6">
              <w:rPr>
                <w:sz w:val="24"/>
              </w:rPr>
              <w:t xml:space="preserve"> </w:t>
            </w:r>
            <w:proofErr w:type="spellStart"/>
            <w:r w:rsidRPr="00C44EE6">
              <w:rPr>
                <w:sz w:val="24"/>
              </w:rPr>
              <w:t>фондунун</w:t>
            </w:r>
            <w:proofErr w:type="spellEnd"/>
            <w:r w:rsidRPr="00C44EE6">
              <w:rPr>
                <w:sz w:val="24"/>
              </w:rPr>
              <w:t xml:space="preserve"> </w:t>
            </w:r>
            <w:proofErr w:type="spellStart"/>
            <w:r w:rsidRPr="00C44EE6">
              <w:rPr>
                <w:sz w:val="24"/>
              </w:rPr>
              <w:t>жабдуулары</w:t>
            </w:r>
            <w:proofErr w:type="spellEnd"/>
            <w:r w:rsidRPr="00C44EE6">
              <w:rPr>
                <w:sz w:val="24"/>
              </w:rPr>
              <w:t xml:space="preserve"> к</w:t>
            </w:r>
            <w:r w:rsidRPr="00C44EE6">
              <w:rPr>
                <w:sz w:val="24"/>
                <w:lang w:val="ky-KG"/>
              </w:rPr>
              <w:t>ө</w:t>
            </w:r>
            <w:r w:rsidRPr="00C44EE6">
              <w:rPr>
                <w:sz w:val="24"/>
              </w:rPr>
              <w:t xml:space="preserve">п </w:t>
            </w:r>
            <w:proofErr w:type="spellStart"/>
            <w:r w:rsidRPr="00C44EE6">
              <w:rPr>
                <w:sz w:val="24"/>
              </w:rPr>
              <w:t>жабдылды</w:t>
            </w:r>
            <w:proofErr w:type="spellEnd"/>
            <w:r w:rsidRPr="00C44EE6">
              <w:rPr>
                <w:sz w:val="24"/>
              </w:rPr>
              <w:t xml:space="preserve">. </w:t>
            </w:r>
            <w:proofErr w:type="spellStart"/>
            <w:r w:rsidRPr="00C44EE6">
              <w:rPr>
                <w:sz w:val="24"/>
              </w:rPr>
              <w:t>Көпчүлүк</w:t>
            </w:r>
            <w:proofErr w:type="spellEnd"/>
            <w:r w:rsidRPr="00C44EE6">
              <w:rPr>
                <w:sz w:val="24"/>
              </w:rPr>
              <w:t xml:space="preserve"> </w:t>
            </w:r>
            <w:proofErr w:type="spellStart"/>
            <w:r w:rsidRPr="00C44EE6">
              <w:rPr>
                <w:sz w:val="24"/>
              </w:rPr>
              <w:t>убактарда</w:t>
            </w:r>
            <w:proofErr w:type="spellEnd"/>
            <w:r w:rsidRPr="00C44EE6">
              <w:rPr>
                <w:sz w:val="24"/>
              </w:rPr>
              <w:t xml:space="preserve">, </w:t>
            </w:r>
            <w:proofErr w:type="spellStart"/>
            <w:r w:rsidRPr="00C44EE6">
              <w:rPr>
                <w:sz w:val="24"/>
              </w:rPr>
              <w:t>өзгөчө</w:t>
            </w:r>
            <w:proofErr w:type="spellEnd"/>
            <w:r w:rsidRPr="00C44EE6">
              <w:rPr>
                <w:sz w:val="24"/>
              </w:rPr>
              <w:t xml:space="preserve"> </w:t>
            </w:r>
            <w:proofErr w:type="spellStart"/>
            <w:r w:rsidRPr="00C44EE6">
              <w:rPr>
                <w:sz w:val="24"/>
              </w:rPr>
              <w:t>жеке</w:t>
            </w:r>
            <w:proofErr w:type="spellEnd"/>
            <w:r w:rsidRPr="00C44EE6">
              <w:rPr>
                <w:sz w:val="24"/>
              </w:rPr>
              <w:t xml:space="preserve"> </w:t>
            </w:r>
            <w:proofErr w:type="spellStart"/>
            <w:r w:rsidRPr="00C44EE6">
              <w:rPr>
                <w:sz w:val="24"/>
              </w:rPr>
              <w:t>үйлөрдө</w:t>
            </w:r>
            <w:proofErr w:type="spellEnd"/>
            <w:r w:rsidRPr="00C44EE6">
              <w:rPr>
                <w:sz w:val="24"/>
              </w:rPr>
              <w:t xml:space="preserve"> </w:t>
            </w:r>
            <w:r w:rsidRPr="00C44EE6">
              <w:rPr>
                <w:sz w:val="24"/>
                <w:lang w:val="ky-KG"/>
              </w:rPr>
              <w:t xml:space="preserve">аз </w:t>
            </w:r>
            <w:proofErr w:type="spellStart"/>
            <w:r w:rsidRPr="00C44EE6">
              <w:rPr>
                <w:sz w:val="24"/>
              </w:rPr>
              <w:t>суу</w:t>
            </w:r>
            <w:proofErr w:type="spellEnd"/>
            <w:r w:rsidRPr="00C44EE6">
              <w:rPr>
                <w:sz w:val="24"/>
              </w:rPr>
              <w:t xml:space="preserve"> </w:t>
            </w:r>
            <w:proofErr w:type="spellStart"/>
            <w:r w:rsidRPr="00C44EE6">
              <w:rPr>
                <w:sz w:val="24"/>
              </w:rPr>
              <w:t>түтүктөрү</w:t>
            </w:r>
            <w:proofErr w:type="spellEnd"/>
            <w:r w:rsidRPr="00C44EE6">
              <w:rPr>
                <w:sz w:val="24"/>
              </w:rPr>
              <w:t xml:space="preserve"> </w:t>
            </w:r>
            <w:proofErr w:type="spellStart"/>
            <w:r w:rsidRPr="00C44EE6">
              <w:rPr>
                <w:sz w:val="24"/>
              </w:rPr>
              <w:t>коюлган</w:t>
            </w:r>
            <w:proofErr w:type="spellEnd"/>
            <w:r w:rsidRPr="00C44EE6">
              <w:rPr>
                <w:sz w:val="24"/>
              </w:rPr>
              <w:t xml:space="preserve">, </w:t>
            </w:r>
            <w:proofErr w:type="spellStart"/>
            <w:r w:rsidRPr="00C44EE6">
              <w:rPr>
                <w:sz w:val="24"/>
              </w:rPr>
              <w:t>борбордук</w:t>
            </w:r>
            <w:proofErr w:type="spellEnd"/>
            <w:r w:rsidRPr="00C44EE6">
              <w:rPr>
                <w:sz w:val="24"/>
              </w:rPr>
              <w:t xml:space="preserve"> </w:t>
            </w:r>
            <w:proofErr w:type="spellStart"/>
            <w:r w:rsidRPr="00C44EE6">
              <w:rPr>
                <w:sz w:val="24"/>
              </w:rPr>
              <w:t>жылуулук</w:t>
            </w:r>
            <w:proofErr w:type="spellEnd"/>
            <w:r w:rsidRPr="00C44EE6">
              <w:rPr>
                <w:sz w:val="24"/>
              </w:rPr>
              <w:t xml:space="preserve">, </w:t>
            </w:r>
            <w:proofErr w:type="spellStart"/>
            <w:r w:rsidRPr="00C44EE6">
              <w:rPr>
                <w:sz w:val="24"/>
              </w:rPr>
              <w:t>ысык</w:t>
            </w:r>
            <w:proofErr w:type="spellEnd"/>
            <w:r w:rsidRPr="00C44EE6">
              <w:rPr>
                <w:sz w:val="24"/>
              </w:rPr>
              <w:t xml:space="preserve"> </w:t>
            </w:r>
            <w:proofErr w:type="spellStart"/>
            <w:r w:rsidRPr="00C44EE6">
              <w:rPr>
                <w:sz w:val="24"/>
              </w:rPr>
              <w:t>суу</w:t>
            </w:r>
            <w:proofErr w:type="spellEnd"/>
            <w:r w:rsidRPr="00C44EE6">
              <w:rPr>
                <w:sz w:val="24"/>
              </w:rPr>
              <w:t xml:space="preserve"> </w:t>
            </w:r>
            <w:proofErr w:type="spellStart"/>
            <w:r w:rsidRPr="00C44EE6">
              <w:rPr>
                <w:sz w:val="24"/>
              </w:rPr>
              <w:t>менен</w:t>
            </w:r>
            <w:proofErr w:type="spellEnd"/>
            <w:r w:rsidRPr="00C44EE6">
              <w:rPr>
                <w:sz w:val="24"/>
              </w:rPr>
              <w:t xml:space="preserve"> </w:t>
            </w:r>
            <w:proofErr w:type="spellStart"/>
            <w:r w:rsidRPr="00C44EE6">
              <w:rPr>
                <w:sz w:val="24"/>
              </w:rPr>
              <w:t>жабдуу</w:t>
            </w:r>
            <w:proofErr w:type="spellEnd"/>
            <w:r w:rsidRPr="00C44EE6">
              <w:rPr>
                <w:sz w:val="24"/>
              </w:rPr>
              <w:t xml:space="preserve">, </w:t>
            </w:r>
            <w:proofErr w:type="spellStart"/>
            <w:r w:rsidRPr="00C44EE6">
              <w:rPr>
                <w:sz w:val="24"/>
              </w:rPr>
              <w:t>даараткана</w:t>
            </w:r>
            <w:proofErr w:type="spellEnd"/>
            <w:r w:rsidRPr="00C44EE6">
              <w:rPr>
                <w:sz w:val="24"/>
              </w:rPr>
              <w:t xml:space="preserve">, газ, канализация </w:t>
            </w:r>
            <w:proofErr w:type="spellStart"/>
            <w:r w:rsidRPr="00C44EE6">
              <w:rPr>
                <w:sz w:val="24"/>
              </w:rPr>
              <w:t>менен</w:t>
            </w:r>
            <w:proofErr w:type="spellEnd"/>
            <w:r w:rsidRPr="00C44EE6">
              <w:rPr>
                <w:sz w:val="24"/>
              </w:rPr>
              <w:t xml:space="preserve"> </w:t>
            </w:r>
            <w:proofErr w:type="spellStart"/>
            <w:r w:rsidRPr="00C44EE6">
              <w:rPr>
                <w:sz w:val="24"/>
              </w:rPr>
              <w:t>жабдылган</w:t>
            </w:r>
            <w:proofErr w:type="spellEnd"/>
            <w:r w:rsidRPr="00C44EE6">
              <w:rPr>
                <w:sz w:val="24"/>
                <w:lang w:val="ky-KG"/>
              </w:rPr>
              <w:t>ы аз</w:t>
            </w:r>
            <w:r w:rsidRPr="00C44EE6">
              <w:rPr>
                <w:sz w:val="24"/>
              </w:rPr>
              <w:t xml:space="preserve">. </w:t>
            </w:r>
            <w:proofErr w:type="spellStart"/>
            <w:r w:rsidRPr="00C44EE6">
              <w:rPr>
                <w:sz w:val="24"/>
              </w:rPr>
              <w:t>Жалпысынан</w:t>
            </w:r>
            <w:proofErr w:type="spellEnd"/>
            <w:r w:rsidRPr="00C44EE6">
              <w:rPr>
                <w:sz w:val="24"/>
              </w:rPr>
              <w:t xml:space="preserve"> </w:t>
            </w:r>
            <w:proofErr w:type="spellStart"/>
            <w:r w:rsidRPr="00C44EE6">
              <w:rPr>
                <w:sz w:val="24"/>
              </w:rPr>
              <w:t>облус</w:t>
            </w:r>
            <w:proofErr w:type="spellEnd"/>
            <w:r w:rsidRPr="00C44EE6">
              <w:rPr>
                <w:sz w:val="24"/>
              </w:rPr>
              <w:t xml:space="preserve"> </w:t>
            </w:r>
            <w:proofErr w:type="spellStart"/>
            <w:r w:rsidRPr="00C44EE6">
              <w:rPr>
                <w:sz w:val="24"/>
              </w:rPr>
              <w:t>боюнча</w:t>
            </w:r>
            <w:proofErr w:type="spellEnd"/>
            <w:r w:rsidRPr="00C44EE6">
              <w:rPr>
                <w:sz w:val="24"/>
              </w:rPr>
              <w:t xml:space="preserve"> </w:t>
            </w:r>
            <w:r w:rsidRPr="00C44EE6">
              <w:rPr>
                <w:sz w:val="24"/>
                <w:lang w:val="ky-KG"/>
              </w:rPr>
              <w:t>10,7</w:t>
            </w:r>
            <w:r w:rsidRPr="00C44EE6">
              <w:rPr>
                <w:sz w:val="24"/>
              </w:rPr>
              <w:t xml:space="preserve"> </w:t>
            </w:r>
            <w:proofErr w:type="spellStart"/>
            <w:r w:rsidRPr="00C44EE6">
              <w:rPr>
                <w:sz w:val="24"/>
              </w:rPr>
              <w:t>пайыз</w:t>
            </w:r>
            <w:proofErr w:type="spellEnd"/>
            <w:r w:rsidRPr="00C44EE6">
              <w:rPr>
                <w:sz w:val="24"/>
              </w:rPr>
              <w:t xml:space="preserve"> </w:t>
            </w:r>
            <w:proofErr w:type="spellStart"/>
            <w:r w:rsidRPr="00C44EE6">
              <w:rPr>
                <w:sz w:val="24"/>
              </w:rPr>
              <w:t>турак-жай</w:t>
            </w:r>
            <w:proofErr w:type="spellEnd"/>
            <w:r w:rsidRPr="00C44EE6">
              <w:rPr>
                <w:sz w:val="24"/>
              </w:rPr>
              <w:t xml:space="preserve"> </w:t>
            </w:r>
            <w:proofErr w:type="spellStart"/>
            <w:r w:rsidRPr="00C44EE6">
              <w:rPr>
                <w:sz w:val="24"/>
              </w:rPr>
              <w:t>аянты</w:t>
            </w:r>
            <w:proofErr w:type="spellEnd"/>
            <w:r w:rsidRPr="00C44EE6">
              <w:rPr>
                <w:sz w:val="24"/>
              </w:rPr>
              <w:t xml:space="preserve"> </w:t>
            </w:r>
            <w:proofErr w:type="spellStart"/>
            <w:r w:rsidRPr="00C44EE6">
              <w:rPr>
                <w:sz w:val="24"/>
              </w:rPr>
              <w:t>суу</w:t>
            </w:r>
            <w:proofErr w:type="spellEnd"/>
            <w:r w:rsidRPr="00C44EE6">
              <w:rPr>
                <w:sz w:val="24"/>
              </w:rPr>
              <w:t xml:space="preserve"> </w:t>
            </w:r>
            <w:proofErr w:type="spellStart"/>
            <w:r w:rsidRPr="00C44EE6">
              <w:rPr>
                <w:sz w:val="24"/>
              </w:rPr>
              <w:t>түтүгү</w:t>
            </w:r>
            <w:proofErr w:type="spellEnd"/>
            <w:r w:rsidRPr="00C44EE6">
              <w:rPr>
                <w:sz w:val="24"/>
                <w:lang w:val="ky-KG"/>
              </w:rPr>
              <w:t xml:space="preserve"> менен</w:t>
            </w:r>
            <w:r w:rsidRPr="00C44EE6">
              <w:rPr>
                <w:sz w:val="24"/>
              </w:rPr>
              <w:t xml:space="preserve">, канализация – </w:t>
            </w:r>
            <w:r w:rsidRPr="00C44EE6">
              <w:rPr>
                <w:sz w:val="24"/>
                <w:lang w:val="ky-KG"/>
              </w:rPr>
              <w:t>10,5</w:t>
            </w:r>
            <w:r w:rsidRPr="00C44EE6">
              <w:rPr>
                <w:sz w:val="24"/>
              </w:rPr>
              <w:t xml:space="preserve"> </w:t>
            </w:r>
            <w:r w:rsidRPr="00C44EE6">
              <w:rPr>
                <w:sz w:val="24"/>
                <w:lang w:val="ky-KG"/>
              </w:rPr>
              <w:t>пайыз</w:t>
            </w:r>
            <w:r w:rsidRPr="00C44EE6">
              <w:rPr>
                <w:sz w:val="24"/>
              </w:rPr>
              <w:t>, ванна (душ) –</w:t>
            </w:r>
            <w:r w:rsidRPr="00C44EE6">
              <w:rPr>
                <w:sz w:val="24"/>
                <w:lang w:val="ky-KG"/>
              </w:rPr>
              <w:t>7,4 пайыз</w:t>
            </w:r>
            <w:r w:rsidRPr="00C44EE6">
              <w:rPr>
                <w:sz w:val="24"/>
              </w:rPr>
              <w:t xml:space="preserve">, </w:t>
            </w:r>
            <w:proofErr w:type="spellStart"/>
            <w:r w:rsidRPr="00C44EE6">
              <w:rPr>
                <w:sz w:val="24"/>
              </w:rPr>
              <w:t>борбордук</w:t>
            </w:r>
            <w:proofErr w:type="spellEnd"/>
            <w:r w:rsidRPr="00C44EE6">
              <w:rPr>
                <w:sz w:val="24"/>
              </w:rPr>
              <w:t xml:space="preserve"> </w:t>
            </w:r>
            <w:proofErr w:type="spellStart"/>
            <w:r w:rsidRPr="00C44EE6">
              <w:rPr>
                <w:sz w:val="24"/>
              </w:rPr>
              <w:t>жылытуу</w:t>
            </w:r>
            <w:proofErr w:type="spellEnd"/>
            <w:r w:rsidRPr="00C44EE6">
              <w:rPr>
                <w:sz w:val="24"/>
              </w:rPr>
              <w:t xml:space="preserve"> – </w:t>
            </w:r>
            <w:r w:rsidRPr="00C44EE6">
              <w:rPr>
                <w:sz w:val="24"/>
                <w:lang w:val="ky-KG"/>
              </w:rPr>
              <w:t xml:space="preserve">4,8 </w:t>
            </w:r>
            <w:proofErr w:type="spellStart"/>
            <w:r w:rsidRPr="00C44EE6">
              <w:rPr>
                <w:sz w:val="24"/>
              </w:rPr>
              <w:t>пайыз</w:t>
            </w:r>
            <w:proofErr w:type="spellEnd"/>
            <w:r w:rsidRPr="00C44EE6">
              <w:rPr>
                <w:sz w:val="24"/>
              </w:rPr>
              <w:t xml:space="preserve"> </w:t>
            </w:r>
            <w:proofErr w:type="spellStart"/>
            <w:r w:rsidRPr="00C44EE6">
              <w:rPr>
                <w:sz w:val="24"/>
              </w:rPr>
              <w:t>жана</w:t>
            </w:r>
            <w:proofErr w:type="spellEnd"/>
            <w:r w:rsidRPr="00C44EE6">
              <w:rPr>
                <w:sz w:val="24"/>
              </w:rPr>
              <w:t xml:space="preserve"> телефон – </w:t>
            </w:r>
            <w:r w:rsidRPr="00C44EE6">
              <w:rPr>
                <w:sz w:val="24"/>
                <w:lang w:val="ky-KG"/>
              </w:rPr>
              <w:t>0,6</w:t>
            </w:r>
            <w:r w:rsidRPr="00C44EE6">
              <w:rPr>
                <w:sz w:val="24"/>
              </w:rPr>
              <w:t xml:space="preserve"> </w:t>
            </w:r>
            <w:proofErr w:type="spellStart"/>
            <w:r w:rsidRPr="00C44EE6">
              <w:rPr>
                <w:sz w:val="24"/>
              </w:rPr>
              <w:t>пайыз</w:t>
            </w:r>
            <w:proofErr w:type="spellEnd"/>
            <w:r w:rsidRPr="00C44EE6">
              <w:rPr>
                <w:sz w:val="24"/>
                <w:lang w:val="ky-KG"/>
              </w:rPr>
              <w:t xml:space="preserve"> камсыз болгон</w:t>
            </w:r>
            <w:r w:rsidRPr="00C44EE6">
              <w:rPr>
                <w:sz w:val="24"/>
              </w:rPr>
              <w:t>.</w:t>
            </w:r>
          </w:p>
        </w:tc>
        <w:tc>
          <w:tcPr>
            <w:tcW w:w="4820" w:type="dxa"/>
          </w:tcPr>
          <w:p w14:paraId="483E622C" w14:textId="2B00CF11" w:rsidR="00D03CFA" w:rsidRPr="00C44EE6" w:rsidRDefault="00D03CFA" w:rsidP="00D03CFA">
            <w:pPr>
              <w:jc w:val="both"/>
              <w:rPr>
                <w:b/>
                <w:i/>
                <w:sz w:val="24"/>
              </w:rPr>
            </w:pPr>
            <w:r w:rsidRPr="00C44EE6">
              <w:rPr>
                <w:i/>
                <w:sz w:val="24"/>
              </w:rPr>
              <w:t xml:space="preserve">Оборудования жилищного фонда так же остается мало оснащенным. Во многих, особенно в индивидуальных домах отсутствуют водопровод, центральное отопление, горячее водоснабжение, ванная, газ, канализация. В целом по области </w:t>
            </w:r>
            <w:r w:rsidRPr="00C44EE6">
              <w:rPr>
                <w:i/>
                <w:sz w:val="24"/>
                <w:lang w:val="ky-KG"/>
              </w:rPr>
              <w:t>10,7</w:t>
            </w:r>
            <w:r w:rsidRPr="00C44EE6">
              <w:rPr>
                <w:i/>
                <w:sz w:val="24"/>
              </w:rPr>
              <w:t xml:space="preserve"> процентов жилой площади обеспечено водопроводом, канализацией – </w:t>
            </w:r>
            <w:r w:rsidRPr="00C44EE6">
              <w:rPr>
                <w:i/>
                <w:sz w:val="24"/>
                <w:lang w:val="ky-KG"/>
              </w:rPr>
              <w:t>10,0</w:t>
            </w:r>
            <w:r w:rsidRPr="00C44EE6">
              <w:rPr>
                <w:i/>
                <w:sz w:val="24"/>
              </w:rPr>
              <w:t xml:space="preserve"> процента, ваннами (душем) – </w:t>
            </w:r>
            <w:r w:rsidRPr="00C44EE6">
              <w:rPr>
                <w:i/>
                <w:sz w:val="24"/>
                <w:lang w:val="ky-KG"/>
              </w:rPr>
              <w:t>7,4</w:t>
            </w:r>
            <w:r w:rsidRPr="00C44EE6">
              <w:rPr>
                <w:i/>
                <w:sz w:val="24"/>
              </w:rPr>
              <w:t xml:space="preserve"> процента, центральным отоплением – </w:t>
            </w:r>
            <w:r w:rsidRPr="00C44EE6">
              <w:rPr>
                <w:i/>
                <w:sz w:val="24"/>
                <w:lang w:val="ky-KG"/>
              </w:rPr>
              <w:t>4,8</w:t>
            </w:r>
            <w:r w:rsidRPr="00C44EE6">
              <w:rPr>
                <w:i/>
                <w:sz w:val="24"/>
              </w:rPr>
              <w:t xml:space="preserve"> процентов и телефоном – </w:t>
            </w:r>
            <w:r w:rsidRPr="00C44EE6">
              <w:rPr>
                <w:i/>
                <w:sz w:val="24"/>
                <w:lang w:val="ky-KG"/>
              </w:rPr>
              <w:t>0,6</w:t>
            </w:r>
            <w:r w:rsidRPr="00C44EE6">
              <w:rPr>
                <w:i/>
                <w:sz w:val="24"/>
              </w:rPr>
              <w:t xml:space="preserve"> процентов.</w:t>
            </w:r>
          </w:p>
        </w:tc>
      </w:tr>
      <w:tr w:rsidR="00C44EE6" w:rsidRPr="00C44EE6" w14:paraId="72759D16" w14:textId="77777777" w:rsidTr="0044137F">
        <w:tc>
          <w:tcPr>
            <w:tcW w:w="4677" w:type="dxa"/>
          </w:tcPr>
          <w:p w14:paraId="2D9ACF30" w14:textId="65766363" w:rsidR="00D03CFA" w:rsidRPr="00C44EE6" w:rsidRDefault="00B41E94" w:rsidP="00D03CFA">
            <w:pPr>
              <w:jc w:val="both"/>
              <w:rPr>
                <w:b/>
                <w:sz w:val="24"/>
                <w:lang w:val="ky-KG"/>
              </w:rPr>
            </w:pPr>
            <w:r w:rsidRPr="00C44EE6">
              <w:rPr>
                <w:sz w:val="24"/>
              </w:rPr>
              <w:t>20</w:t>
            </w:r>
            <w:r w:rsidRPr="00C44EE6">
              <w:rPr>
                <w:sz w:val="24"/>
                <w:lang w:val="ky-KG"/>
              </w:rPr>
              <w:t>24</w:t>
            </w:r>
            <w:r w:rsidRPr="00C44EE6">
              <w:rPr>
                <w:sz w:val="24"/>
              </w:rPr>
              <w:t>-</w:t>
            </w:r>
            <w:proofErr w:type="spellStart"/>
            <w:r w:rsidRPr="00C44EE6">
              <w:rPr>
                <w:sz w:val="24"/>
              </w:rPr>
              <w:t>жылы</w:t>
            </w:r>
            <w:proofErr w:type="spellEnd"/>
            <w:r w:rsidRPr="00C44EE6">
              <w:rPr>
                <w:sz w:val="24"/>
                <w:lang w:val="ky-KG"/>
              </w:rPr>
              <w:t xml:space="preserve"> Жалал-Абад шаарында</w:t>
            </w:r>
            <w:r w:rsidRPr="00C44EE6">
              <w:rPr>
                <w:sz w:val="24"/>
              </w:rPr>
              <w:t xml:space="preserve"> </w:t>
            </w:r>
            <w:proofErr w:type="spellStart"/>
            <w:r w:rsidRPr="00C44EE6">
              <w:rPr>
                <w:sz w:val="24"/>
              </w:rPr>
              <w:t>бир</w:t>
            </w:r>
            <w:proofErr w:type="spellEnd"/>
            <w:r w:rsidRPr="00C44EE6">
              <w:rPr>
                <w:sz w:val="24"/>
              </w:rPr>
              <w:t xml:space="preserve"> </w:t>
            </w:r>
            <w:proofErr w:type="spellStart"/>
            <w:r w:rsidRPr="00C44EE6">
              <w:rPr>
                <w:sz w:val="24"/>
              </w:rPr>
              <w:t>кишиге</w:t>
            </w:r>
            <w:proofErr w:type="spellEnd"/>
            <w:r w:rsidRPr="00C44EE6">
              <w:rPr>
                <w:sz w:val="24"/>
              </w:rPr>
              <w:t xml:space="preserve"> </w:t>
            </w:r>
            <w:proofErr w:type="spellStart"/>
            <w:r w:rsidRPr="00C44EE6">
              <w:rPr>
                <w:sz w:val="24"/>
              </w:rPr>
              <w:t>эсептегенде</w:t>
            </w:r>
            <w:proofErr w:type="spellEnd"/>
            <w:r w:rsidRPr="00C44EE6">
              <w:rPr>
                <w:sz w:val="24"/>
              </w:rPr>
              <w:t xml:space="preserve"> (9</w:t>
            </w:r>
            <w:r w:rsidRPr="00C44EE6">
              <w:rPr>
                <w:sz w:val="24"/>
                <w:lang w:val="ky-KG"/>
              </w:rPr>
              <w:t>,</w:t>
            </w:r>
            <w:r w:rsidRPr="00C44EE6">
              <w:rPr>
                <w:sz w:val="24"/>
              </w:rPr>
              <w:t xml:space="preserve">7 </w:t>
            </w:r>
            <w:proofErr w:type="spellStart"/>
            <w:r w:rsidRPr="00C44EE6">
              <w:rPr>
                <w:sz w:val="24"/>
              </w:rPr>
              <w:t>чарчы</w:t>
            </w:r>
            <w:proofErr w:type="spellEnd"/>
            <w:r w:rsidRPr="00C44EE6">
              <w:rPr>
                <w:sz w:val="24"/>
              </w:rPr>
              <w:t xml:space="preserve"> метр) </w:t>
            </w:r>
            <w:proofErr w:type="spellStart"/>
            <w:r w:rsidRPr="00C44EE6">
              <w:rPr>
                <w:sz w:val="24"/>
              </w:rPr>
              <w:t>турак</w:t>
            </w:r>
            <w:proofErr w:type="spellEnd"/>
            <w:r w:rsidRPr="00C44EE6">
              <w:rPr>
                <w:sz w:val="24"/>
              </w:rPr>
              <w:t xml:space="preserve"> </w:t>
            </w:r>
            <w:proofErr w:type="spellStart"/>
            <w:r w:rsidRPr="00C44EE6">
              <w:rPr>
                <w:sz w:val="24"/>
              </w:rPr>
              <w:t>жай</w:t>
            </w:r>
            <w:proofErr w:type="spellEnd"/>
            <w:r w:rsidRPr="00C44EE6">
              <w:rPr>
                <w:sz w:val="24"/>
              </w:rPr>
              <w:t xml:space="preserve"> </w:t>
            </w:r>
            <w:proofErr w:type="spellStart"/>
            <w:r w:rsidRPr="00C44EE6">
              <w:rPr>
                <w:sz w:val="24"/>
              </w:rPr>
              <w:t>менен</w:t>
            </w:r>
            <w:proofErr w:type="spellEnd"/>
            <w:r w:rsidRPr="00C44EE6">
              <w:rPr>
                <w:sz w:val="24"/>
              </w:rPr>
              <w:t xml:space="preserve"> </w:t>
            </w:r>
            <w:proofErr w:type="spellStart"/>
            <w:r w:rsidRPr="00C44EE6">
              <w:rPr>
                <w:sz w:val="24"/>
              </w:rPr>
              <w:t>камсыз</w:t>
            </w:r>
            <w:proofErr w:type="spellEnd"/>
            <w:r w:rsidRPr="00C44EE6">
              <w:rPr>
                <w:sz w:val="24"/>
              </w:rPr>
              <w:t xml:space="preserve"> </w:t>
            </w:r>
            <w:proofErr w:type="spellStart"/>
            <w:r w:rsidRPr="00C44EE6">
              <w:rPr>
                <w:sz w:val="24"/>
              </w:rPr>
              <w:t>болуу</w:t>
            </w:r>
            <w:proofErr w:type="spellEnd"/>
            <w:r w:rsidRPr="00C44EE6">
              <w:rPr>
                <w:sz w:val="24"/>
              </w:rPr>
              <w:t xml:space="preserve">, </w:t>
            </w:r>
            <w:proofErr w:type="spellStart"/>
            <w:r w:rsidRPr="00C44EE6">
              <w:rPr>
                <w:sz w:val="24"/>
              </w:rPr>
              <w:t>жалпы</w:t>
            </w:r>
            <w:proofErr w:type="spellEnd"/>
            <w:r w:rsidRPr="00C44EE6">
              <w:rPr>
                <w:sz w:val="24"/>
              </w:rPr>
              <w:t xml:space="preserve"> </w:t>
            </w:r>
            <w:proofErr w:type="spellStart"/>
            <w:r w:rsidRPr="00C44EE6">
              <w:rPr>
                <w:sz w:val="24"/>
              </w:rPr>
              <w:t>облус</w:t>
            </w:r>
            <w:proofErr w:type="spellEnd"/>
            <w:r w:rsidRPr="00C44EE6">
              <w:rPr>
                <w:sz w:val="24"/>
              </w:rPr>
              <w:t xml:space="preserve"> </w:t>
            </w:r>
            <w:r w:rsidRPr="00C44EE6">
              <w:rPr>
                <w:sz w:val="24"/>
                <w:lang w:val="ky-KG"/>
              </w:rPr>
              <w:t>көрсөткүчү</w:t>
            </w:r>
            <w:r w:rsidRPr="00C44EE6">
              <w:rPr>
                <w:sz w:val="24"/>
              </w:rPr>
              <w:t xml:space="preserve"> (</w:t>
            </w:r>
            <w:r w:rsidRPr="00C44EE6">
              <w:rPr>
                <w:sz w:val="24"/>
                <w:lang w:val="ky-KG"/>
              </w:rPr>
              <w:t>18491007</w:t>
            </w:r>
            <w:r w:rsidRPr="00C44EE6">
              <w:rPr>
                <w:sz w:val="24"/>
              </w:rPr>
              <w:t xml:space="preserve"> </w:t>
            </w:r>
            <w:proofErr w:type="spellStart"/>
            <w:r w:rsidRPr="00C44EE6">
              <w:rPr>
                <w:sz w:val="24"/>
              </w:rPr>
              <w:t>чарчы</w:t>
            </w:r>
            <w:proofErr w:type="spellEnd"/>
            <w:r w:rsidRPr="00C44EE6">
              <w:rPr>
                <w:sz w:val="24"/>
              </w:rPr>
              <w:t xml:space="preserve"> метр) </w:t>
            </w:r>
            <w:r w:rsidRPr="00C44EE6">
              <w:rPr>
                <w:sz w:val="24"/>
                <w:lang w:val="ky-KG"/>
              </w:rPr>
              <w:t>түздү</w:t>
            </w:r>
            <w:r w:rsidRPr="00C44EE6">
              <w:rPr>
                <w:sz w:val="24"/>
              </w:rPr>
              <w:t>.</w:t>
            </w:r>
          </w:p>
        </w:tc>
        <w:tc>
          <w:tcPr>
            <w:tcW w:w="4820" w:type="dxa"/>
          </w:tcPr>
          <w:p w14:paraId="270B2ACC" w14:textId="3B8A1785" w:rsidR="00D03CFA" w:rsidRPr="00C44EE6" w:rsidRDefault="00B41E94" w:rsidP="00D03CFA">
            <w:pPr>
              <w:jc w:val="both"/>
              <w:rPr>
                <w:b/>
                <w:i/>
                <w:sz w:val="24"/>
              </w:rPr>
            </w:pPr>
            <w:r w:rsidRPr="00C44EE6">
              <w:rPr>
                <w:i/>
                <w:sz w:val="24"/>
              </w:rPr>
              <w:t>В 20</w:t>
            </w:r>
            <w:r w:rsidRPr="00C44EE6">
              <w:rPr>
                <w:i/>
                <w:sz w:val="24"/>
                <w:lang w:val="ky-KG"/>
              </w:rPr>
              <w:t>24</w:t>
            </w:r>
            <w:r w:rsidRPr="00C44EE6">
              <w:rPr>
                <w:i/>
                <w:sz w:val="24"/>
              </w:rPr>
              <w:t xml:space="preserve"> году обеспеченность жильем в расчете на одного человека в городе</w:t>
            </w:r>
            <w:r w:rsidRPr="00C44EE6">
              <w:rPr>
                <w:i/>
                <w:sz w:val="24"/>
                <w:lang w:val="ky-KG"/>
              </w:rPr>
              <w:t xml:space="preserve"> Джалал-Абад</w:t>
            </w:r>
            <w:r w:rsidRPr="00C44EE6">
              <w:rPr>
                <w:i/>
                <w:sz w:val="24"/>
              </w:rPr>
              <w:t xml:space="preserve"> (</w:t>
            </w:r>
            <w:r w:rsidRPr="00C44EE6">
              <w:rPr>
                <w:i/>
                <w:sz w:val="24"/>
                <w:lang w:val="ky-KG"/>
              </w:rPr>
              <w:t>9,7</w:t>
            </w:r>
            <w:r w:rsidRPr="00C44EE6">
              <w:rPr>
                <w:i/>
                <w:sz w:val="24"/>
              </w:rPr>
              <w:t xml:space="preserve"> квадратных </w:t>
            </w:r>
            <w:proofErr w:type="gramStart"/>
            <w:r w:rsidRPr="00C44EE6">
              <w:rPr>
                <w:i/>
                <w:sz w:val="24"/>
              </w:rPr>
              <w:t>метров)  по</w:t>
            </w:r>
            <w:proofErr w:type="gramEnd"/>
            <w:r w:rsidRPr="00C44EE6">
              <w:rPr>
                <w:i/>
                <w:sz w:val="24"/>
              </w:rPr>
              <w:t xml:space="preserve"> области (18491007 квадратных метров).</w:t>
            </w:r>
          </w:p>
        </w:tc>
      </w:tr>
      <w:tr w:rsidR="00D03CFA" w:rsidRPr="00947ABD" w14:paraId="2D739405" w14:textId="77777777" w:rsidTr="007F3C2A">
        <w:tc>
          <w:tcPr>
            <w:tcW w:w="4677" w:type="dxa"/>
          </w:tcPr>
          <w:p w14:paraId="3373D24E" w14:textId="2C159B62" w:rsidR="00D03CFA" w:rsidRPr="00285E57" w:rsidRDefault="00D03CFA" w:rsidP="00D03CFA">
            <w:pPr>
              <w:jc w:val="both"/>
              <w:rPr>
                <w:i/>
                <w:sz w:val="24"/>
                <w:lang w:val="ky-KG"/>
              </w:rPr>
            </w:pPr>
            <w:r w:rsidRPr="00285E57">
              <w:rPr>
                <w:b/>
                <w:sz w:val="24"/>
                <w:lang w:val="ky-KG"/>
              </w:rPr>
              <w:t xml:space="preserve">     Туризм жана эс алуу. </w:t>
            </w:r>
            <w:r w:rsidRPr="00285E57">
              <w:rPr>
                <w:sz w:val="24"/>
                <w:lang w:val="ky-KG"/>
              </w:rPr>
              <w:t>202</w:t>
            </w:r>
            <w:r w:rsidR="00CC6F7E" w:rsidRPr="00285E57">
              <w:rPr>
                <w:sz w:val="24"/>
                <w:lang w:val="ky-KG"/>
              </w:rPr>
              <w:t>4</w:t>
            </w:r>
            <w:r w:rsidRPr="00285E57">
              <w:rPr>
                <w:sz w:val="24"/>
                <w:lang w:val="ky-KG"/>
              </w:rPr>
              <w:t xml:space="preserve">-жылга карата Жалал-Абад облусунда туризм жана эс алуу боюнча </w:t>
            </w:r>
            <w:r w:rsidR="00CC6F7E" w:rsidRPr="00285E57">
              <w:rPr>
                <w:sz w:val="24"/>
                <w:lang w:val="ky-KG"/>
              </w:rPr>
              <w:t>92</w:t>
            </w:r>
            <w:r w:rsidRPr="00285E57">
              <w:rPr>
                <w:sz w:val="24"/>
                <w:lang w:val="ky-KG"/>
              </w:rPr>
              <w:t xml:space="preserve"> мекеме-ишкана бар.  Анын ичинде: </w:t>
            </w:r>
            <w:r w:rsidR="00CC6F7E" w:rsidRPr="00285E57">
              <w:rPr>
                <w:sz w:val="24"/>
                <w:lang w:val="ky-KG"/>
              </w:rPr>
              <w:t>53</w:t>
            </w:r>
            <w:r w:rsidRPr="00285E57">
              <w:rPr>
                <w:sz w:val="24"/>
                <w:lang w:val="ky-KG"/>
              </w:rPr>
              <w:t xml:space="preserve"> мейманкана, 9 </w:t>
            </w:r>
            <w:r w:rsidRPr="00285E57">
              <w:rPr>
                <w:rFonts w:ascii="Times New Roman CYR" w:hAnsi="Times New Roman CYR" w:cs="Times New Roman CYR"/>
                <w:sz w:val="24"/>
                <w:szCs w:val="24"/>
                <w:lang w:val="ky-KG"/>
              </w:rPr>
              <w:t>балдар үчүн ден соолукту чыңдоочу комплекс (лагерь), 2 балдар санаториясы, 3 санатория, 11 конок үйү, 1 эс алуу пансионаты, 7 жаратылыш парктары жана коруктары бар, анын ичинен т</w:t>
            </w:r>
            <w:r w:rsidRPr="00285E57">
              <w:rPr>
                <w:rFonts w:ascii="Cambria" w:hAnsi="Cambria" w:cs="Times New Roman CYR"/>
                <w:sz w:val="24"/>
                <w:szCs w:val="24"/>
                <w:lang w:val="ky-KG"/>
              </w:rPr>
              <w:t>өртөө</w:t>
            </w:r>
            <w:r w:rsidRPr="00285E57">
              <w:rPr>
                <w:rFonts w:ascii="Times New Roman CYR" w:hAnsi="Times New Roman CYR" w:cs="Times New Roman CYR"/>
                <w:sz w:val="24"/>
                <w:szCs w:val="24"/>
                <w:lang w:val="ky-KG"/>
              </w:rPr>
              <w:t xml:space="preserve"> туризм боюнча отчет берет,  1 туристтик база, 1 хостель, 1 санаториялык диспансер, 1 эс алуу үйү </w:t>
            </w:r>
            <w:r w:rsidRPr="00285E57">
              <w:rPr>
                <w:sz w:val="24"/>
                <w:szCs w:val="24"/>
                <w:lang w:val="ky-KG"/>
              </w:rPr>
              <w:t>жана 2 эс алуу база бар.  202</w:t>
            </w:r>
            <w:r w:rsidR="00D653B0" w:rsidRPr="00285E57">
              <w:rPr>
                <w:sz w:val="24"/>
                <w:szCs w:val="24"/>
                <w:lang w:val="ky-KG"/>
              </w:rPr>
              <w:t>4</w:t>
            </w:r>
            <w:r w:rsidRPr="00285E57">
              <w:rPr>
                <w:sz w:val="24"/>
                <w:szCs w:val="24"/>
                <w:lang w:val="ky-KG"/>
              </w:rPr>
              <w:t xml:space="preserve">-жылы ага келген адамдардын жалпы  саны </w:t>
            </w:r>
            <w:r w:rsidR="00285E57" w:rsidRPr="00285E57">
              <w:rPr>
                <w:sz w:val="24"/>
                <w:szCs w:val="24"/>
                <w:lang w:val="ky-KG"/>
              </w:rPr>
              <w:t>134157</w:t>
            </w:r>
            <w:r w:rsidRPr="00285E57">
              <w:rPr>
                <w:sz w:val="24"/>
                <w:szCs w:val="24"/>
                <w:lang w:val="ky-KG"/>
              </w:rPr>
              <w:t xml:space="preserve"> </w:t>
            </w:r>
            <w:r w:rsidRPr="00285E57">
              <w:rPr>
                <w:sz w:val="24"/>
                <w:lang w:val="ky-KG"/>
              </w:rPr>
              <w:t xml:space="preserve">адам болгон.  Туристтик базаларга  3736 адам, балдар үчүн санаторийлерге </w:t>
            </w:r>
            <w:r w:rsidR="00285E57" w:rsidRPr="00285E57">
              <w:rPr>
                <w:sz w:val="24"/>
                <w:lang w:val="ky-KG"/>
              </w:rPr>
              <w:t>2441</w:t>
            </w:r>
            <w:r w:rsidRPr="00285E57">
              <w:rPr>
                <w:sz w:val="24"/>
                <w:lang w:val="ky-KG"/>
              </w:rPr>
              <w:t xml:space="preserve"> бала,  мейманканаларга  40489 адам, эс алуу пансионатына </w:t>
            </w:r>
            <w:r w:rsidR="00285E57" w:rsidRPr="00285E57">
              <w:rPr>
                <w:sz w:val="24"/>
                <w:lang w:val="ky-KG"/>
              </w:rPr>
              <w:t>826</w:t>
            </w:r>
            <w:r w:rsidRPr="00285E57">
              <w:rPr>
                <w:sz w:val="24"/>
                <w:lang w:val="ky-KG"/>
              </w:rPr>
              <w:t xml:space="preserve"> адам, эс алуу үйүнө </w:t>
            </w:r>
            <w:r w:rsidR="00285E57" w:rsidRPr="00285E57">
              <w:rPr>
                <w:sz w:val="24"/>
                <w:lang w:val="ky-KG"/>
              </w:rPr>
              <w:t>842</w:t>
            </w:r>
            <w:r w:rsidRPr="00285E57">
              <w:rPr>
                <w:sz w:val="24"/>
                <w:lang w:val="ky-KG"/>
              </w:rPr>
              <w:t xml:space="preserve"> адам, санаториялык диспансерге 300 адам, балдар үчүн ден соолукту чыңдоочу  комплекс (лагерь) – 2</w:t>
            </w:r>
            <w:r w:rsidR="00285E57" w:rsidRPr="00285E57">
              <w:rPr>
                <w:sz w:val="24"/>
                <w:lang w:val="ky-KG"/>
              </w:rPr>
              <w:t>432</w:t>
            </w:r>
            <w:r w:rsidRPr="00285E57">
              <w:rPr>
                <w:sz w:val="24"/>
                <w:lang w:val="ky-KG"/>
              </w:rPr>
              <w:t xml:space="preserve">  бала, санаторияларга </w:t>
            </w:r>
            <w:r w:rsidR="00285E57" w:rsidRPr="00285E57">
              <w:rPr>
                <w:sz w:val="24"/>
                <w:lang w:val="ky-KG"/>
              </w:rPr>
              <w:t>19331</w:t>
            </w:r>
            <w:r w:rsidRPr="00285E57">
              <w:rPr>
                <w:sz w:val="24"/>
                <w:lang w:val="ky-KG"/>
              </w:rPr>
              <w:t xml:space="preserve"> адам жана конок үйүнө 3059 адам  келген.</w:t>
            </w:r>
          </w:p>
        </w:tc>
        <w:tc>
          <w:tcPr>
            <w:tcW w:w="4820" w:type="dxa"/>
          </w:tcPr>
          <w:p w14:paraId="7D57D42C" w14:textId="412B2F67" w:rsidR="00D03CFA" w:rsidRPr="00285E57" w:rsidRDefault="00D03CFA" w:rsidP="00D03CFA">
            <w:pPr>
              <w:jc w:val="both"/>
              <w:rPr>
                <w:i/>
                <w:sz w:val="24"/>
              </w:rPr>
            </w:pPr>
            <w:r w:rsidRPr="00285E57">
              <w:rPr>
                <w:b/>
                <w:i/>
                <w:sz w:val="24"/>
                <w:lang w:val="ky-KG"/>
              </w:rPr>
              <w:t xml:space="preserve">     </w:t>
            </w:r>
            <w:r w:rsidRPr="00285E57">
              <w:rPr>
                <w:b/>
                <w:i/>
                <w:sz w:val="24"/>
              </w:rPr>
              <w:t>Туризм и отдых.</w:t>
            </w:r>
            <w:r w:rsidRPr="00285E57">
              <w:rPr>
                <w:i/>
                <w:sz w:val="24"/>
              </w:rPr>
              <w:t xml:space="preserve">  </w:t>
            </w:r>
            <w:r w:rsidRPr="00285E57">
              <w:rPr>
                <w:i/>
                <w:sz w:val="24"/>
                <w:lang w:val="ky-KG"/>
              </w:rPr>
              <w:t xml:space="preserve"> По состоянию на </w:t>
            </w:r>
            <w:r w:rsidRPr="00285E57">
              <w:rPr>
                <w:i/>
                <w:sz w:val="24"/>
              </w:rPr>
              <w:t>202</w:t>
            </w:r>
            <w:r w:rsidR="00CC6F7E" w:rsidRPr="00285E57">
              <w:rPr>
                <w:i/>
                <w:sz w:val="24"/>
                <w:lang w:val="ky-KG"/>
              </w:rPr>
              <w:t>4</w:t>
            </w:r>
            <w:r w:rsidRPr="00285E57">
              <w:rPr>
                <w:i/>
                <w:sz w:val="24"/>
              </w:rPr>
              <w:t xml:space="preserve"> году в </w:t>
            </w:r>
            <w:r w:rsidRPr="00285E57">
              <w:rPr>
                <w:i/>
                <w:sz w:val="24"/>
                <w:lang w:val="ky-KG"/>
              </w:rPr>
              <w:t>Джалал-Абадской</w:t>
            </w:r>
            <w:r w:rsidRPr="00285E57">
              <w:rPr>
                <w:i/>
                <w:sz w:val="24"/>
              </w:rPr>
              <w:t xml:space="preserve"> области </w:t>
            </w:r>
            <w:r w:rsidRPr="00285E57">
              <w:rPr>
                <w:i/>
                <w:sz w:val="24"/>
                <w:lang w:val="ky-KG"/>
              </w:rPr>
              <w:t xml:space="preserve">действует </w:t>
            </w:r>
            <w:r w:rsidR="00CC6F7E" w:rsidRPr="00285E57">
              <w:rPr>
                <w:i/>
                <w:sz w:val="24"/>
                <w:lang w:val="ky-KG"/>
              </w:rPr>
              <w:t>92</w:t>
            </w:r>
            <w:r w:rsidRPr="00285E57">
              <w:rPr>
                <w:i/>
                <w:sz w:val="24"/>
                <w:lang w:val="ky-KG"/>
              </w:rPr>
              <w:t xml:space="preserve"> предприятий туризма и отдыха. В том числе: </w:t>
            </w:r>
            <w:r w:rsidR="00CC6F7E" w:rsidRPr="00285E57">
              <w:rPr>
                <w:i/>
                <w:sz w:val="24"/>
                <w:lang w:val="ky-KG"/>
              </w:rPr>
              <w:t>53</w:t>
            </w:r>
            <w:r w:rsidRPr="00285E57">
              <w:rPr>
                <w:i/>
                <w:sz w:val="24"/>
                <w:lang w:val="ky-KG"/>
              </w:rPr>
              <w:t xml:space="preserve"> гостиниц, 9 детские оздоровительные комплексы, 2 детский санатории, 3 санаториев, 11 гостевых дом, 1 пансионат отдыха, 7 природные парки и заповедники, из них 4 хоз. субъекты  отчитывается по  туризму, 1 туристическая база, 1 хостель, 1 санатория профилактория, 1 дом отдых и 2 база отдыха. В 202</w:t>
            </w:r>
            <w:r w:rsidR="00CC6F7E" w:rsidRPr="00285E57">
              <w:rPr>
                <w:i/>
                <w:sz w:val="24"/>
                <w:lang w:val="ky-KG"/>
              </w:rPr>
              <w:t>4</w:t>
            </w:r>
            <w:r w:rsidRPr="00285E57">
              <w:rPr>
                <w:i/>
                <w:sz w:val="24"/>
                <w:lang w:val="ky-KG"/>
              </w:rPr>
              <w:t xml:space="preserve"> году общее количество посетителей составило </w:t>
            </w:r>
            <w:r w:rsidR="00285E57" w:rsidRPr="00285E57">
              <w:rPr>
                <w:i/>
                <w:sz w:val="24"/>
                <w:lang w:val="ky-KG"/>
              </w:rPr>
              <w:t>134157</w:t>
            </w:r>
            <w:r w:rsidRPr="00285E57">
              <w:rPr>
                <w:i/>
                <w:sz w:val="24"/>
                <w:lang w:val="ky-KG"/>
              </w:rPr>
              <w:t xml:space="preserve"> человек.</w:t>
            </w:r>
            <w:r w:rsidRPr="00285E57">
              <w:rPr>
                <w:i/>
                <w:sz w:val="24"/>
                <w:szCs w:val="24"/>
                <w:lang w:val="ky-KG"/>
              </w:rPr>
              <w:t xml:space="preserve"> </w:t>
            </w:r>
            <w:r w:rsidRPr="00285E57">
              <w:rPr>
                <w:i/>
                <w:sz w:val="24"/>
                <w:lang w:val="ky-KG"/>
              </w:rPr>
              <w:t xml:space="preserve">3736 человек пришли в туристическую базу, </w:t>
            </w:r>
            <w:r w:rsidR="00285E57" w:rsidRPr="00285E57">
              <w:rPr>
                <w:i/>
                <w:sz w:val="24"/>
                <w:lang w:val="ky-KG"/>
              </w:rPr>
              <w:t>2441</w:t>
            </w:r>
            <w:r w:rsidRPr="00285E57">
              <w:rPr>
                <w:i/>
                <w:sz w:val="24"/>
                <w:lang w:val="ky-KG"/>
              </w:rPr>
              <w:t xml:space="preserve"> в детский санаторий, 40489 человек в гостиницы, </w:t>
            </w:r>
            <w:r w:rsidR="00285E57" w:rsidRPr="00285E57">
              <w:rPr>
                <w:i/>
                <w:sz w:val="24"/>
                <w:lang w:val="ky-KG"/>
              </w:rPr>
              <w:t>826</w:t>
            </w:r>
            <w:r w:rsidRPr="00285E57">
              <w:rPr>
                <w:i/>
                <w:sz w:val="24"/>
                <w:lang w:val="ky-KG"/>
              </w:rPr>
              <w:t xml:space="preserve"> человек в  пансионат отдыха, 300 человек госпитализированы в санаторно-курортную профилактику, </w:t>
            </w:r>
            <w:r w:rsidR="00285E57" w:rsidRPr="00285E57">
              <w:rPr>
                <w:i/>
                <w:sz w:val="24"/>
                <w:lang w:val="ky-KG"/>
              </w:rPr>
              <w:t>842</w:t>
            </w:r>
            <w:r w:rsidRPr="00285E57">
              <w:rPr>
                <w:i/>
                <w:sz w:val="24"/>
                <w:lang w:val="ky-KG"/>
              </w:rPr>
              <w:t xml:space="preserve"> человек дом отдыха, 2</w:t>
            </w:r>
            <w:r w:rsidR="00285E57" w:rsidRPr="00285E57">
              <w:rPr>
                <w:i/>
                <w:sz w:val="24"/>
                <w:lang w:val="ky-KG"/>
              </w:rPr>
              <w:t>432</w:t>
            </w:r>
            <w:r w:rsidRPr="00285E57">
              <w:rPr>
                <w:i/>
                <w:sz w:val="24"/>
                <w:lang w:val="ky-KG"/>
              </w:rPr>
              <w:t xml:space="preserve"> дети в детские оздоровительные лагеря, </w:t>
            </w:r>
            <w:r w:rsidRPr="00285E57">
              <w:rPr>
                <w:i/>
                <w:sz w:val="24"/>
              </w:rPr>
              <w:t xml:space="preserve"> </w:t>
            </w:r>
            <w:r w:rsidR="00285E57" w:rsidRPr="00285E57">
              <w:rPr>
                <w:i/>
                <w:sz w:val="24"/>
                <w:lang w:val="ky-KG"/>
              </w:rPr>
              <w:t>19331</w:t>
            </w:r>
            <w:r w:rsidRPr="00285E57">
              <w:rPr>
                <w:i/>
                <w:sz w:val="24"/>
              </w:rPr>
              <w:t xml:space="preserve"> человек </w:t>
            </w:r>
            <w:r w:rsidRPr="00285E57">
              <w:rPr>
                <w:i/>
                <w:sz w:val="24"/>
                <w:lang w:val="ky-KG"/>
              </w:rPr>
              <w:t>санатории, 3059 человек в гостевой дом.</w:t>
            </w:r>
          </w:p>
        </w:tc>
      </w:tr>
      <w:tr w:rsidR="00D03CFA" w:rsidRPr="008A0E69" w14:paraId="7C137637" w14:textId="77777777" w:rsidTr="007F3C2A">
        <w:trPr>
          <w:trHeight w:val="1259"/>
        </w:trPr>
        <w:tc>
          <w:tcPr>
            <w:tcW w:w="4677" w:type="dxa"/>
          </w:tcPr>
          <w:p w14:paraId="46025D5B" w14:textId="4416AB41" w:rsidR="00D03CFA" w:rsidRPr="00285E57" w:rsidRDefault="00D03CFA" w:rsidP="00D03CFA">
            <w:pPr>
              <w:jc w:val="both"/>
              <w:rPr>
                <w:b/>
                <w:sz w:val="24"/>
                <w:lang w:val="ky-KG"/>
              </w:rPr>
            </w:pPr>
            <w:r w:rsidRPr="00285E57">
              <w:rPr>
                <w:sz w:val="24"/>
                <w:lang w:val="ky-KG"/>
              </w:rPr>
              <w:t xml:space="preserve">      Облустун аймагында "Саймалуу-Таш", «Беш-Арал» мамлекеттик улуттук жаратылыш паркы жана “Сары-Челек”, “Падыша-Ата” мамлекеттик жаратылыш коругу жайгашкан, ага 202</w:t>
            </w:r>
            <w:r w:rsidR="00D653B0" w:rsidRPr="00285E57">
              <w:rPr>
                <w:sz w:val="24"/>
                <w:lang w:val="ky-KG"/>
              </w:rPr>
              <w:t>4</w:t>
            </w:r>
            <w:r w:rsidRPr="00285E57">
              <w:rPr>
                <w:sz w:val="24"/>
                <w:lang w:val="ky-KG"/>
              </w:rPr>
              <w:t xml:space="preserve">-жылга карата  </w:t>
            </w:r>
            <w:r w:rsidR="00285E57" w:rsidRPr="00285E57">
              <w:rPr>
                <w:sz w:val="24"/>
                <w:lang w:val="ky-KG"/>
              </w:rPr>
              <w:t>56291</w:t>
            </w:r>
            <w:r w:rsidRPr="00285E57">
              <w:rPr>
                <w:sz w:val="24"/>
                <w:lang w:val="ky-KG"/>
              </w:rPr>
              <w:t xml:space="preserve"> адам келген.</w:t>
            </w:r>
          </w:p>
        </w:tc>
        <w:tc>
          <w:tcPr>
            <w:tcW w:w="4820" w:type="dxa"/>
          </w:tcPr>
          <w:p w14:paraId="63C44838" w14:textId="677A970E" w:rsidR="00D03CFA" w:rsidRPr="00285E57" w:rsidRDefault="00D03CFA" w:rsidP="00D03CFA">
            <w:pPr>
              <w:jc w:val="both"/>
              <w:rPr>
                <w:b/>
                <w:i/>
                <w:sz w:val="24"/>
                <w:lang w:val="ky-KG"/>
              </w:rPr>
            </w:pPr>
            <w:r w:rsidRPr="00285E57">
              <w:rPr>
                <w:i/>
                <w:sz w:val="24"/>
                <w:lang w:val="ky-KG"/>
              </w:rPr>
              <w:t xml:space="preserve">      </w:t>
            </w:r>
            <w:r w:rsidRPr="00285E57">
              <w:rPr>
                <w:i/>
                <w:sz w:val="24"/>
              </w:rPr>
              <w:t xml:space="preserve">На территории области расположен Государственный национальный </w:t>
            </w:r>
            <w:proofErr w:type="spellStart"/>
            <w:r w:rsidRPr="00285E57">
              <w:rPr>
                <w:i/>
                <w:sz w:val="24"/>
              </w:rPr>
              <w:t>природны</w:t>
            </w:r>
            <w:proofErr w:type="spellEnd"/>
            <w:r w:rsidRPr="00285E57">
              <w:rPr>
                <w:i/>
                <w:sz w:val="24"/>
                <w:lang w:val="ky-KG"/>
              </w:rPr>
              <w:t>й</w:t>
            </w:r>
            <w:r w:rsidRPr="00285E57">
              <w:rPr>
                <w:i/>
                <w:sz w:val="24"/>
              </w:rPr>
              <w:t xml:space="preserve"> парк</w:t>
            </w:r>
            <w:r w:rsidRPr="00285E57">
              <w:rPr>
                <w:i/>
                <w:sz w:val="24"/>
                <w:lang w:val="ky-KG"/>
              </w:rPr>
              <w:t xml:space="preserve">и </w:t>
            </w:r>
            <w:r w:rsidRPr="00285E57">
              <w:rPr>
                <w:i/>
                <w:sz w:val="24"/>
              </w:rPr>
              <w:t>“</w:t>
            </w:r>
            <w:r w:rsidRPr="00285E57">
              <w:rPr>
                <w:i/>
                <w:sz w:val="24"/>
                <w:lang w:val="ky-KG"/>
              </w:rPr>
              <w:t>Саймалуу</w:t>
            </w:r>
            <w:r w:rsidRPr="00285E57">
              <w:rPr>
                <w:i/>
                <w:sz w:val="24"/>
              </w:rPr>
              <w:t xml:space="preserve">-Таш” и </w:t>
            </w:r>
            <w:r w:rsidRPr="00285E57">
              <w:rPr>
                <w:i/>
                <w:sz w:val="24"/>
                <w:lang w:val="ky-KG"/>
              </w:rPr>
              <w:t>“</w:t>
            </w:r>
            <w:proofErr w:type="spellStart"/>
            <w:r w:rsidRPr="00285E57">
              <w:rPr>
                <w:i/>
                <w:sz w:val="24"/>
              </w:rPr>
              <w:t>Беш</w:t>
            </w:r>
            <w:proofErr w:type="spellEnd"/>
            <w:r w:rsidRPr="00285E57">
              <w:rPr>
                <w:i/>
                <w:sz w:val="24"/>
              </w:rPr>
              <w:t>-Арал</w:t>
            </w:r>
            <w:r w:rsidRPr="00285E57">
              <w:rPr>
                <w:i/>
                <w:sz w:val="24"/>
                <w:lang w:val="ky-KG"/>
              </w:rPr>
              <w:t>”</w:t>
            </w:r>
            <w:r w:rsidRPr="00285E57">
              <w:rPr>
                <w:i/>
                <w:sz w:val="24"/>
              </w:rPr>
              <w:t xml:space="preserve"> </w:t>
            </w:r>
            <w:r w:rsidRPr="00285E57">
              <w:rPr>
                <w:i/>
                <w:sz w:val="24"/>
                <w:lang w:val="ky-KG"/>
              </w:rPr>
              <w:t>Государственный природный заповедники “Сары-</w:t>
            </w:r>
            <w:proofErr w:type="gramStart"/>
            <w:r w:rsidRPr="00285E57">
              <w:rPr>
                <w:i/>
                <w:sz w:val="24"/>
                <w:lang w:val="ky-KG"/>
              </w:rPr>
              <w:t>Челек”и</w:t>
            </w:r>
            <w:proofErr w:type="gramEnd"/>
            <w:r w:rsidRPr="00285E57">
              <w:rPr>
                <w:i/>
                <w:sz w:val="24"/>
                <w:lang w:val="ky-KG"/>
              </w:rPr>
              <w:t xml:space="preserve"> “Падыша-Ата” к 202</w:t>
            </w:r>
            <w:r w:rsidR="00CC6F7E" w:rsidRPr="00285E57">
              <w:rPr>
                <w:i/>
                <w:sz w:val="24"/>
                <w:lang w:val="ky-KG"/>
              </w:rPr>
              <w:t>4</w:t>
            </w:r>
            <w:r w:rsidRPr="00285E57">
              <w:rPr>
                <w:i/>
                <w:sz w:val="24"/>
                <w:lang w:val="ky-KG"/>
              </w:rPr>
              <w:t xml:space="preserve"> году </w:t>
            </w:r>
            <w:r w:rsidRPr="00285E57">
              <w:rPr>
                <w:i/>
                <w:sz w:val="24"/>
              </w:rPr>
              <w:t>его посетили</w:t>
            </w:r>
            <w:r w:rsidR="00285E57" w:rsidRPr="00285E57">
              <w:rPr>
                <w:i/>
                <w:sz w:val="24"/>
              </w:rPr>
              <w:t>56291</w:t>
            </w:r>
            <w:r w:rsidRPr="00285E57">
              <w:rPr>
                <w:i/>
                <w:sz w:val="24"/>
              </w:rPr>
              <w:t xml:space="preserve"> </w:t>
            </w:r>
            <w:proofErr w:type="gramStart"/>
            <w:r w:rsidRPr="00285E57">
              <w:rPr>
                <w:i/>
                <w:sz w:val="24"/>
              </w:rPr>
              <w:t>человек.</w:t>
            </w:r>
            <w:r w:rsidRPr="00285E57">
              <w:rPr>
                <w:i/>
                <w:sz w:val="24"/>
                <w:lang w:val="ky-KG"/>
              </w:rPr>
              <w:t>.</w:t>
            </w:r>
            <w:proofErr w:type="gramEnd"/>
          </w:p>
        </w:tc>
      </w:tr>
      <w:tr w:rsidR="00D03CFA" w:rsidRPr="00947ABD" w14:paraId="18EAFDEA" w14:textId="77777777" w:rsidTr="007F3C2A">
        <w:tc>
          <w:tcPr>
            <w:tcW w:w="4677" w:type="dxa"/>
          </w:tcPr>
          <w:p w14:paraId="11AB0F13" w14:textId="34B85FCB" w:rsidR="00D03CFA" w:rsidRPr="00285E57" w:rsidRDefault="00D03CFA" w:rsidP="00D03CFA">
            <w:pPr>
              <w:jc w:val="both"/>
              <w:rPr>
                <w:sz w:val="24"/>
                <w:lang w:val="ky-KG"/>
              </w:rPr>
            </w:pPr>
            <w:r w:rsidRPr="00285E57">
              <w:rPr>
                <w:sz w:val="24"/>
                <w:lang w:val="ky-KG"/>
              </w:rPr>
              <w:t xml:space="preserve">      202</w:t>
            </w:r>
            <w:r w:rsidR="00D653B0" w:rsidRPr="00285E57">
              <w:rPr>
                <w:sz w:val="24"/>
                <w:lang w:val="ky-KG"/>
              </w:rPr>
              <w:t>4</w:t>
            </w:r>
            <w:r w:rsidRPr="00285E57">
              <w:rPr>
                <w:sz w:val="24"/>
                <w:lang w:val="ky-KG"/>
              </w:rPr>
              <w:t xml:space="preserve">-жылы жалпы туристтердин саны </w:t>
            </w:r>
            <w:r w:rsidR="00285E57" w:rsidRPr="00285E57">
              <w:rPr>
                <w:sz w:val="24"/>
                <w:szCs w:val="24"/>
                <w:lang w:val="ky-KG"/>
              </w:rPr>
              <w:t>77866</w:t>
            </w:r>
            <w:r w:rsidRPr="00285E57">
              <w:rPr>
                <w:sz w:val="24"/>
                <w:lang w:val="ky-KG"/>
              </w:rPr>
              <w:t xml:space="preserve"> адамды түзгөн жана 20</w:t>
            </w:r>
            <w:r w:rsidR="00D653B0" w:rsidRPr="00285E57">
              <w:rPr>
                <w:sz w:val="24"/>
                <w:lang w:val="ky-KG"/>
              </w:rPr>
              <w:t>2</w:t>
            </w:r>
            <w:r w:rsidR="00285E57" w:rsidRPr="00285E57">
              <w:rPr>
                <w:sz w:val="24"/>
                <w:lang w:val="ky-KG"/>
              </w:rPr>
              <w:t>0</w:t>
            </w:r>
            <w:r w:rsidRPr="00285E57">
              <w:rPr>
                <w:sz w:val="24"/>
                <w:lang w:val="ky-KG"/>
              </w:rPr>
              <w:t xml:space="preserve">-жылга салыштырмалуу алардын саны </w:t>
            </w:r>
            <w:r w:rsidR="00285E57" w:rsidRPr="00285E57">
              <w:rPr>
                <w:sz w:val="24"/>
                <w:lang w:val="ky-KG"/>
              </w:rPr>
              <w:t>48848</w:t>
            </w:r>
            <w:r w:rsidRPr="00285E57">
              <w:rPr>
                <w:sz w:val="24"/>
                <w:lang w:val="ky-KG"/>
              </w:rPr>
              <w:t xml:space="preserve"> адамга көбөйгөн.</w:t>
            </w:r>
          </w:p>
        </w:tc>
        <w:tc>
          <w:tcPr>
            <w:tcW w:w="4820" w:type="dxa"/>
          </w:tcPr>
          <w:p w14:paraId="6A6DFF60" w14:textId="6EE272DD" w:rsidR="00D03CFA" w:rsidRPr="00285E57" w:rsidRDefault="00D03CFA" w:rsidP="00D03CFA">
            <w:pPr>
              <w:jc w:val="both"/>
              <w:rPr>
                <w:i/>
                <w:sz w:val="24"/>
              </w:rPr>
            </w:pPr>
            <w:r w:rsidRPr="00285E57">
              <w:rPr>
                <w:i/>
                <w:sz w:val="24"/>
                <w:lang w:val="ky-KG"/>
              </w:rPr>
              <w:t xml:space="preserve">      Всего </w:t>
            </w:r>
            <w:r w:rsidRPr="00285E57">
              <w:rPr>
                <w:i/>
                <w:sz w:val="24"/>
              </w:rPr>
              <w:t>численность туристов в 202</w:t>
            </w:r>
            <w:r w:rsidR="00285E57" w:rsidRPr="00285E57">
              <w:rPr>
                <w:i/>
                <w:sz w:val="24"/>
                <w:lang w:val="ky-KG"/>
              </w:rPr>
              <w:t>4</w:t>
            </w:r>
            <w:r w:rsidRPr="00285E57">
              <w:rPr>
                <w:i/>
                <w:sz w:val="24"/>
              </w:rPr>
              <w:t xml:space="preserve"> году составила </w:t>
            </w:r>
            <w:r w:rsidR="00285E57" w:rsidRPr="00285E57">
              <w:rPr>
                <w:i/>
                <w:sz w:val="24"/>
                <w:lang w:val="ky-KG"/>
              </w:rPr>
              <w:t>77866</w:t>
            </w:r>
            <w:r w:rsidRPr="00285E57">
              <w:rPr>
                <w:i/>
                <w:sz w:val="24"/>
              </w:rPr>
              <w:t xml:space="preserve"> человека и по сравнению с 20</w:t>
            </w:r>
            <w:r w:rsidR="00D653B0" w:rsidRPr="00285E57">
              <w:rPr>
                <w:i/>
                <w:sz w:val="24"/>
              </w:rPr>
              <w:t>20</w:t>
            </w:r>
            <w:r w:rsidRPr="00285E57">
              <w:rPr>
                <w:i/>
                <w:sz w:val="24"/>
              </w:rPr>
              <w:t xml:space="preserve"> годом их численность у</w:t>
            </w:r>
            <w:r w:rsidRPr="00285E57">
              <w:rPr>
                <w:i/>
                <w:sz w:val="24"/>
                <w:lang w:val="ky-KG"/>
              </w:rPr>
              <w:t>величилось</w:t>
            </w:r>
            <w:r w:rsidRPr="00285E57">
              <w:rPr>
                <w:i/>
                <w:sz w:val="24"/>
              </w:rPr>
              <w:t xml:space="preserve"> на </w:t>
            </w:r>
            <w:r w:rsidR="00285E57" w:rsidRPr="00285E57">
              <w:rPr>
                <w:i/>
                <w:sz w:val="24"/>
                <w:lang w:val="ky-KG"/>
              </w:rPr>
              <w:t>48848</w:t>
            </w:r>
            <w:r w:rsidRPr="00285E57">
              <w:rPr>
                <w:i/>
                <w:sz w:val="24"/>
                <w:lang w:val="ky-KG"/>
              </w:rPr>
              <w:t xml:space="preserve"> </w:t>
            </w:r>
            <w:r w:rsidRPr="00285E57">
              <w:rPr>
                <w:i/>
                <w:sz w:val="24"/>
              </w:rPr>
              <w:t>человек.</w:t>
            </w:r>
          </w:p>
        </w:tc>
      </w:tr>
    </w:tbl>
    <w:p w14:paraId="0A1BAD0A" w14:textId="77777777" w:rsidR="008C4DEB" w:rsidRDefault="008C4DEB" w:rsidP="008C4DEB">
      <w:pPr>
        <w:ind w:firstLine="708"/>
        <w:jc w:val="both"/>
        <w:rPr>
          <w:sz w:val="24"/>
          <w:lang w:val="ky-KG"/>
        </w:rPr>
      </w:pPr>
    </w:p>
    <w:p w14:paraId="62CA007E" w14:textId="77777777" w:rsidR="008C4DEB" w:rsidRDefault="008C4DEB" w:rsidP="008C4DEB">
      <w:pPr>
        <w:ind w:firstLine="708"/>
        <w:jc w:val="both"/>
        <w:rPr>
          <w:sz w:val="24"/>
          <w:lang w:val="ky-KG"/>
        </w:rPr>
      </w:pPr>
    </w:p>
    <w:p w14:paraId="7A81D3E3" w14:textId="77777777" w:rsidR="008C4DEB" w:rsidRPr="00D77E5F" w:rsidRDefault="008C4DEB" w:rsidP="008C4DEB">
      <w:pPr>
        <w:ind w:firstLine="708"/>
        <w:jc w:val="both"/>
        <w:rPr>
          <w:sz w:val="24"/>
          <w:lang w:val="ky-KG"/>
        </w:rPr>
      </w:pPr>
    </w:p>
    <w:tbl>
      <w:tblPr>
        <w:tblW w:w="9497" w:type="dxa"/>
        <w:tblInd w:w="250" w:type="dxa"/>
        <w:tblLook w:val="04A0" w:firstRow="1" w:lastRow="0" w:firstColumn="1" w:lastColumn="0" w:noHBand="0" w:noVBand="1"/>
      </w:tblPr>
      <w:tblGrid>
        <w:gridCol w:w="4677"/>
        <w:gridCol w:w="4820"/>
      </w:tblGrid>
      <w:tr w:rsidR="008C4DEB" w:rsidRPr="00947ABD" w14:paraId="16F93F73" w14:textId="77777777" w:rsidTr="007F3C2A">
        <w:tc>
          <w:tcPr>
            <w:tcW w:w="4677" w:type="dxa"/>
          </w:tcPr>
          <w:p w14:paraId="61AA9DCE" w14:textId="77777777" w:rsidR="008C4DEB" w:rsidRPr="00E56130" w:rsidRDefault="008C4DEB" w:rsidP="007F3C2A">
            <w:pPr>
              <w:pStyle w:val="a8"/>
              <w:spacing w:after="0"/>
              <w:ind w:left="0" w:firstLine="708"/>
              <w:jc w:val="center"/>
              <w:rPr>
                <w:sz w:val="24"/>
                <w:lang w:val="ky-KG"/>
              </w:rPr>
            </w:pPr>
            <w:r w:rsidRPr="00D77E5F">
              <w:rPr>
                <w:b/>
                <w:sz w:val="24"/>
                <w:lang w:val="ky-KG"/>
              </w:rPr>
              <w:t>201</w:t>
            </w:r>
            <w:r>
              <w:rPr>
                <w:b/>
                <w:sz w:val="24"/>
                <w:lang w:val="ky-KG"/>
              </w:rPr>
              <w:t>9</w:t>
            </w:r>
            <w:r w:rsidRPr="00D93D25">
              <w:rPr>
                <w:b/>
                <w:sz w:val="24"/>
                <w:lang w:val="ky-KG"/>
              </w:rPr>
              <w:t>-</w:t>
            </w:r>
            <w:r>
              <w:rPr>
                <w:b/>
                <w:sz w:val="24"/>
                <w:lang w:val="ky-KG"/>
              </w:rPr>
              <w:t>2023</w:t>
            </w:r>
            <w:r w:rsidRPr="00D93D25">
              <w:rPr>
                <w:b/>
                <w:sz w:val="24"/>
                <w:lang w:val="ky-KG"/>
              </w:rPr>
              <w:t>-ж.</w:t>
            </w:r>
            <w:r>
              <w:rPr>
                <w:b/>
                <w:sz w:val="24"/>
                <w:lang w:val="ky-KG"/>
              </w:rPr>
              <w:t xml:space="preserve"> </w:t>
            </w:r>
            <w:r w:rsidRPr="00D93D25">
              <w:rPr>
                <w:b/>
                <w:sz w:val="24"/>
                <w:lang w:val="ky-KG"/>
              </w:rPr>
              <w:t xml:space="preserve">үчүн эс алуу жана туризм </w:t>
            </w:r>
            <w:r>
              <w:rPr>
                <w:b/>
                <w:sz w:val="24"/>
                <w:lang w:val="ky-KG"/>
              </w:rPr>
              <w:t xml:space="preserve">боюнча </w:t>
            </w:r>
            <w:r w:rsidRPr="00D93D25">
              <w:rPr>
                <w:b/>
                <w:sz w:val="24"/>
                <w:lang w:val="ky-KG"/>
              </w:rPr>
              <w:t>мекемелерд</w:t>
            </w:r>
            <w:r>
              <w:rPr>
                <w:b/>
                <w:sz w:val="24"/>
                <w:lang w:val="ky-KG"/>
              </w:rPr>
              <w:t xml:space="preserve">е </w:t>
            </w:r>
            <w:r w:rsidRPr="00D93D25">
              <w:rPr>
                <w:b/>
                <w:sz w:val="24"/>
                <w:lang w:val="ky-KG"/>
              </w:rPr>
              <w:t>тейленген адамдардын саны</w:t>
            </w:r>
          </w:p>
        </w:tc>
        <w:tc>
          <w:tcPr>
            <w:tcW w:w="4820" w:type="dxa"/>
          </w:tcPr>
          <w:p w14:paraId="6974C8DE" w14:textId="77777777" w:rsidR="008C4DEB" w:rsidRPr="00EE160D" w:rsidRDefault="008C4DEB" w:rsidP="007F3C2A">
            <w:pPr>
              <w:jc w:val="center"/>
              <w:rPr>
                <w:b/>
                <w:i/>
                <w:sz w:val="24"/>
              </w:rPr>
            </w:pPr>
            <w:r w:rsidRPr="00EE160D">
              <w:rPr>
                <w:b/>
                <w:i/>
                <w:sz w:val="24"/>
              </w:rPr>
              <w:t xml:space="preserve">Численность обслуженных </w:t>
            </w:r>
          </w:p>
          <w:p w14:paraId="404ACF1B" w14:textId="77777777" w:rsidR="008C4DEB" w:rsidRPr="00EE160D" w:rsidRDefault="008C4DEB" w:rsidP="007F3C2A">
            <w:pPr>
              <w:jc w:val="center"/>
              <w:rPr>
                <w:b/>
                <w:i/>
                <w:sz w:val="24"/>
              </w:rPr>
            </w:pPr>
            <w:r w:rsidRPr="00EE160D">
              <w:rPr>
                <w:b/>
                <w:i/>
                <w:sz w:val="24"/>
              </w:rPr>
              <w:t>в организациях</w:t>
            </w:r>
          </w:p>
          <w:p w14:paraId="10F80C36" w14:textId="77777777" w:rsidR="008C4DEB" w:rsidRPr="00461FD8" w:rsidRDefault="008C4DEB" w:rsidP="007F3C2A">
            <w:pPr>
              <w:ind w:firstLine="720"/>
              <w:jc w:val="both"/>
              <w:rPr>
                <w:i/>
                <w:sz w:val="24"/>
              </w:rPr>
            </w:pPr>
            <w:r w:rsidRPr="00EE160D">
              <w:rPr>
                <w:b/>
                <w:i/>
                <w:sz w:val="24"/>
              </w:rPr>
              <w:t>отдыха и туризма за 201</w:t>
            </w:r>
            <w:r>
              <w:rPr>
                <w:b/>
                <w:i/>
                <w:sz w:val="24"/>
                <w:lang w:val="ky-KG"/>
              </w:rPr>
              <w:t>9</w:t>
            </w:r>
            <w:r w:rsidRPr="00EE160D">
              <w:rPr>
                <w:b/>
                <w:i/>
                <w:sz w:val="24"/>
              </w:rPr>
              <w:t>-</w:t>
            </w:r>
            <w:r>
              <w:rPr>
                <w:b/>
                <w:i/>
                <w:sz w:val="24"/>
              </w:rPr>
              <w:t>202</w:t>
            </w:r>
            <w:r>
              <w:rPr>
                <w:b/>
                <w:i/>
                <w:sz w:val="24"/>
                <w:lang w:val="ky-KG"/>
              </w:rPr>
              <w:t>3</w:t>
            </w:r>
            <w:r w:rsidRPr="00EE160D">
              <w:rPr>
                <w:b/>
                <w:i/>
                <w:sz w:val="24"/>
              </w:rPr>
              <w:t>г.</w:t>
            </w:r>
          </w:p>
        </w:tc>
      </w:tr>
    </w:tbl>
    <w:p w14:paraId="7303CB5B" w14:textId="77777777" w:rsidR="008C4DEB" w:rsidRPr="001749FB" w:rsidRDefault="008C4DEB" w:rsidP="008C4DEB">
      <w:pPr>
        <w:jc w:val="center"/>
        <w:rPr>
          <w:sz w:val="24"/>
        </w:rPr>
      </w:pPr>
    </w:p>
    <w:p w14:paraId="00CB213F" w14:textId="77777777" w:rsidR="00F667B3" w:rsidRDefault="00F667B3" w:rsidP="008C4DEB"/>
    <w:p w14:paraId="739D652E" w14:textId="00240471" w:rsidR="008C4DEB" w:rsidRDefault="008C4DEB" w:rsidP="008C4DEB">
      <w:r>
        <w:rPr>
          <w:noProof/>
        </w:rPr>
        <w:drawing>
          <wp:anchor distT="0" distB="0" distL="114300" distR="114300" simplePos="0" relativeHeight="251753472" behindDoc="0" locked="0" layoutInCell="1" allowOverlap="1" wp14:anchorId="2A2D1DB5" wp14:editId="3779F241">
            <wp:simplePos x="0" y="0"/>
            <wp:positionH relativeFrom="column">
              <wp:posOffset>836295</wp:posOffset>
            </wp:positionH>
            <wp:positionV relativeFrom="paragraph">
              <wp:posOffset>269240</wp:posOffset>
            </wp:positionV>
            <wp:extent cx="4064000" cy="1597025"/>
            <wp:effectExtent l="0" t="0" r="0" b="0"/>
            <wp:wrapNone/>
            <wp:docPr id="9" name="Объект 15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p>
    <w:p w14:paraId="783F911D" w14:textId="77777777" w:rsidR="008C4DEB" w:rsidRPr="008B6410" w:rsidRDefault="008C4DEB" w:rsidP="008C4DEB">
      <w:pPr>
        <w:ind w:firstLine="708"/>
        <w:jc w:val="both"/>
        <w:rPr>
          <w:b/>
          <w:sz w:val="24"/>
        </w:rPr>
      </w:pPr>
    </w:p>
    <w:p w14:paraId="39AF0C08" w14:textId="77777777" w:rsidR="008C4DEB" w:rsidRPr="008B6410" w:rsidRDefault="008C4DEB" w:rsidP="008C4DEB">
      <w:pPr>
        <w:ind w:firstLine="708"/>
        <w:jc w:val="both"/>
        <w:rPr>
          <w:b/>
          <w:sz w:val="24"/>
        </w:rPr>
      </w:pPr>
    </w:p>
    <w:p w14:paraId="0B6D6A8C" w14:textId="77777777" w:rsidR="008C4DEB" w:rsidRPr="008B6410" w:rsidRDefault="008C4DEB" w:rsidP="008C4DEB">
      <w:pPr>
        <w:ind w:firstLine="708"/>
        <w:jc w:val="both"/>
        <w:rPr>
          <w:b/>
          <w:sz w:val="24"/>
        </w:rPr>
      </w:pPr>
    </w:p>
    <w:p w14:paraId="7F9D35F4" w14:textId="77777777" w:rsidR="008C4DEB" w:rsidRPr="008B6410" w:rsidRDefault="008C4DEB" w:rsidP="008C4DEB">
      <w:pPr>
        <w:ind w:firstLine="708"/>
        <w:jc w:val="both"/>
        <w:rPr>
          <w:b/>
          <w:sz w:val="24"/>
        </w:rPr>
      </w:pPr>
    </w:p>
    <w:p w14:paraId="4D2BBB37" w14:textId="77777777" w:rsidR="008C4DEB" w:rsidRPr="008B6410" w:rsidRDefault="008C4DEB" w:rsidP="008C4DEB">
      <w:pPr>
        <w:ind w:firstLine="708"/>
        <w:jc w:val="both"/>
        <w:rPr>
          <w:b/>
          <w:sz w:val="24"/>
        </w:rPr>
      </w:pPr>
    </w:p>
    <w:p w14:paraId="21BA0446" w14:textId="77777777" w:rsidR="008C4DEB" w:rsidRPr="008B6410" w:rsidRDefault="008C4DEB" w:rsidP="008C4DEB">
      <w:pPr>
        <w:ind w:firstLine="708"/>
        <w:jc w:val="both"/>
        <w:rPr>
          <w:b/>
          <w:sz w:val="24"/>
        </w:rPr>
      </w:pPr>
    </w:p>
    <w:p w14:paraId="7842BC5B" w14:textId="77777777" w:rsidR="008C4DEB" w:rsidRPr="008B6410" w:rsidRDefault="008C4DEB" w:rsidP="008C4DEB">
      <w:pPr>
        <w:ind w:firstLine="708"/>
        <w:jc w:val="both"/>
        <w:rPr>
          <w:b/>
          <w:sz w:val="24"/>
        </w:rPr>
      </w:pPr>
    </w:p>
    <w:p w14:paraId="3340E17A" w14:textId="77777777" w:rsidR="008C4DEB" w:rsidRPr="008B6410" w:rsidRDefault="008C4DEB" w:rsidP="008C4DEB">
      <w:pPr>
        <w:ind w:firstLine="708"/>
        <w:jc w:val="both"/>
        <w:rPr>
          <w:b/>
          <w:sz w:val="24"/>
        </w:rPr>
      </w:pPr>
    </w:p>
    <w:p w14:paraId="5B16C6E2" w14:textId="77777777" w:rsidR="008C4DEB" w:rsidRPr="008B6410" w:rsidRDefault="008C4DEB" w:rsidP="008C4DEB">
      <w:pPr>
        <w:ind w:firstLine="708"/>
        <w:jc w:val="both"/>
        <w:rPr>
          <w:b/>
          <w:sz w:val="24"/>
        </w:rPr>
      </w:pPr>
    </w:p>
    <w:p w14:paraId="0AD1CF92" w14:textId="77777777" w:rsidR="001265EE" w:rsidRPr="00FF4514" w:rsidRDefault="001265EE" w:rsidP="00D33A3C">
      <w:pPr>
        <w:ind w:firstLine="720"/>
        <w:jc w:val="both"/>
        <w:rPr>
          <w:color w:val="FF0000"/>
          <w:sz w:val="24"/>
          <w:szCs w:val="24"/>
          <w:highlight w:val="yellow"/>
        </w:rPr>
      </w:pPr>
    </w:p>
    <w:tbl>
      <w:tblPr>
        <w:tblW w:w="9497" w:type="dxa"/>
        <w:tblInd w:w="250" w:type="dxa"/>
        <w:tblLook w:val="04A0" w:firstRow="1" w:lastRow="0" w:firstColumn="1" w:lastColumn="0" w:noHBand="0" w:noVBand="1"/>
      </w:tblPr>
      <w:tblGrid>
        <w:gridCol w:w="4677"/>
        <w:gridCol w:w="4820"/>
      </w:tblGrid>
      <w:tr w:rsidR="00C44EE6" w:rsidRPr="00C44EE6" w14:paraId="48DFAF61" w14:textId="77777777" w:rsidTr="00F45C31">
        <w:tc>
          <w:tcPr>
            <w:tcW w:w="4677" w:type="dxa"/>
          </w:tcPr>
          <w:p w14:paraId="75E5035B" w14:textId="706B0521" w:rsidR="00416B4D" w:rsidRPr="00C44EE6" w:rsidRDefault="00054DA8" w:rsidP="00F45C31">
            <w:pPr>
              <w:ind w:firstLine="708"/>
              <w:jc w:val="both"/>
              <w:rPr>
                <w:i/>
                <w:sz w:val="24"/>
                <w:lang w:val="ky-KG"/>
              </w:rPr>
            </w:pPr>
            <w:r w:rsidRPr="00C44EE6">
              <w:rPr>
                <w:b/>
                <w:sz w:val="24"/>
                <w:lang w:val="ky-KG"/>
              </w:rPr>
              <w:t>Кылмыштуулук</w:t>
            </w:r>
            <w:r w:rsidRPr="00C44EE6">
              <w:rPr>
                <w:sz w:val="24"/>
                <w:lang w:val="ky-KG"/>
              </w:rPr>
              <w:t xml:space="preserve">. 2024-жылы Жалал-Абад облусунда катталган кылмыштардын жалпы  саны 2711 окуяны түздү, </w:t>
            </w:r>
            <w:r w:rsidRPr="00C44EE6">
              <w:rPr>
                <w:rFonts w:ascii="Times New Roman UniToktom" w:hAnsi="Times New Roman UniToktom" w:cs="Times New Roman UniToktom"/>
                <w:sz w:val="24"/>
                <w:lang w:val="ky-KG"/>
              </w:rPr>
              <w:t>бул өткөн жылдын ушул мезгилине салыштырмалуу 0,82 пайызга (же 581 окуяга) азайган</w:t>
            </w:r>
            <w:r w:rsidRPr="00C44EE6">
              <w:rPr>
                <w:sz w:val="24"/>
                <w:lang w:val="ky-KG"/>
              </w:rPr>
              <w:t>, ал эми 2020-жылга салыштырмалуу</w:t>
            </w:r>
            <w:r w:rsidRPr="00C44EE6">
              <w:rPr>
                <w:rFonts w:ascii="Times New Roman UniToktom" w:hAnsi="Times New Roman UniToktom" w:cs="Times New Roman UniToktom"/>
                <w:sz w:val="24"/>
                <w:lang w:val="ky-KG"/>
              </w:rPr>
              <w:t xml:space="preserve"> 1,1 пайызга (же 359 окуяга) көбөйгөн.</w:t>
            </w:r>
          </w:p>
        </w:tc>
        <w:tc>
          <w:tcPr>
            <w:tcW w:w="4820" w:type="dxa"/>
          </w:tcPr>
          <w:p w14:paraId="6DBEB982" w14:textId="10A21C8A" w:rsidR="00416B4D" w:rsidRPr="00C44EE6" w:rsidRDefault="00054DA8" w:rsidP="00F45C31">
            <w:pPr>
              <w:ind w:firstLine="708"/>
              <w:jc w:val="both"/>
              <w:rPr>
                <w:i/>
                <w:sz w:val="24"/>
                <w:lang w:val="ky-KG"/>
              </w:rPr>
            </w:pPr>
            <w:r w:rsidRPr="00C44EE6">
              <w:rPr>
                <w:b/>
                <w:i/>
                <w:sz w:val="24"/>
              </w:rPr>
              <w:t>Правонарушения</w:t>
            </w:r>
            <w:r w:rsidRPr="00C44EE6">
              <w:rPr>
                <w:i/>
                <w:sz w:val="24"/>
              </w:rPr>
              <w:t>. Общее число заре</w:t>
            </w:r>
            <w:r w:rsidRPr="00C44EE6">
              <w:rPr>
                <w:i/>
                <w:sz w:val="24"/>
                <w:lang w:val="ky-KG"/>
              </w:rPr>
              <w:t>-</w:t>
            </w:r>
            <w:proofErr w:type="spellStart"/>
            <w:r w:rsidRPr="00C44EE6">
              <w:rPr>
                <w:i/>
                <w:sz w:val="24"/>
              </w:rPr>
              <w:t>гистрированных</w:t>
            </w:r>
            <w:proofErr w:type="spellEnd"/>
            <w:r w:rsidRPr="00C44EE6">
              <w:rPr>
                <w:i/>
                <w:sz w:val="24"/>
              </w:rPr>
              <w:t xml:space="preserve"> преступлений за 2</w:t>
            </w:r>
            <w:r w:rsidRPr="00C44EE6">
              <w:rPr>
                <w:i/>
                <w:sz w:val="24"/>
                <w:lang w:val="ky-KG"/>
              </w:rPr>
              <w:t>024</w:t>
            </w:r>
            <w:r w:rsidRPr="00C44EE6">
              <w:rPr>
                <w:i/>
                <w:sz w:val="24"/>
              </w:rPr>
              <w:t xml:space="preserve"> год по области составило 2711 </w:t>
            </w:r>
            <w:proofErr w:type="spellStart"/>
            <w:r w:rsidRPr="00C44EE6">
              <w:rPr>
                <w:i/>
                <w:sz w:val="24"/>
              </w:rPr>
              <w:t>случа</w:t>
            </w:r>
            <w:proofErr w:type="spellEnd"/>
            <w:r w:rsidRPr="00C44EE6">
              <w:rPr>
                <w:i/>
                <w:sz w:val="24"/>
                <w:lang w:val="ky-KG"/>
              </w:rPr>
              <w:t>ев</w:t>
            </w:r>
            <w:r w:rsidRPr="00C44EE6">
              <w:rPr>
                <w:i/>
                <w:sz w:val="24"/>
              </w:rPr>
              <w:t xml:space="preserve"> и по сравнению с 20</w:t>
            </w:r>
            <w:r w:rsidRPr="00C44EE6">
              <w:rPr>
                <w:i/>
                <w:sz w:val="24"/>
                <w:lang w:val="ky-KG"/>
              </w:rPr>
              <w:t>23</w:t>
            </w:r>
            <w:r w:rsidRPr="00C44EE6">
              <w:rPr>
                <w:i/>
                <w:sz w:val="24"/>
              </w:rPr>
              <w:t xml:space="preserve"> годом </w:t>
            </w:r>
            <w:r w:rsidRPr="00C44EE6">
              <w:rPr>
                <w:i/>
                <w:sz w:val="24"/>
                <w:lang w:val="ky-KG"/>
              </w:rPr>
              <w:t>их число уменшилось</w:t>
            </w:r>
            <w:r w:rsidRPr="00C44EE6">
              <w:rPr>
                <w:i/>
                <w:sz w:val="24"/>
              </w:rPr>
              <w:t xml:space="preserve"> на </w:t>
            </w:r>
            <w:r w:rsidRPr="00C44EE6">
              <w:rPr>
                <w:i/>
                <w:sz w:val="24"/>
                <w:lang w:val="ky-KG"/>
              </w:rPr>
              <w:t>0,82</w:t>
            </w:r>
            <w:r w:rsidRPr="00C44EE6">
              <w:rPr>
                <w:i/>
                <w:sz w:val="24"/>
              </w:rPr>
              <w:t xml:space="preserve"> процента (на 581 </w:t>
            </w:r>
            <w:proofErr w:type="spellStart"/>
            <w:r w:rsidRPr="00C44EE6">
              <w:rPr>
                <w:i/>
                <w:sz w:val="24"/>
              </w:rPr>
              <w:t>случа</w:t>
            </w:r>
            <w:proofErr w:type="spellEnd"/>
            <w:r w:rsidRPr="00C44EE6">
              <w:rPr>
                <w:i/>
                <w:sz w:val="24"/>
                <w:lang w:val="ky-KG"/>
              </w:rPr>
              <w:t>ев</w:t>
            </w:r>
            <w:r w:rsidRPr="00C44EE6">
              <w:rPr>
                <w:i/>
                <w:sz w:val="24"/>
              </w:rPr>
              <w:t xml:space="preserve">), а </w:t>
            </w:r>
            <w:r w:rsidRPr="00C44EE6">
              <w:rPr>
                <w:i/>
                <w:sz w:val="24"/>
                <w:lang w:val="ky-KG"/>
              </w:rPr>
              <w:t xml:space="preserve">по сравнению </w:t>
            </w:r>
            <w:r w:rsidRPr="00C44EE6">
              <w:rPr>
                <w:i/>
                <w:sz w:val="24"/>
              </w:rPr>
              <w:t>с 201</w:t>
            </w:r>
            <w:r w:rsidRPr="00C44EE6">
              <w:rPr>
                <w:i/>
                <w:sz w:val="24"/>
                <w:lang w:val="ky-KG"/>
              </w:rPr>
              <w:t>9</w:t>
            </w:r>
            <w:r w:rsidRPr="00C44EE6">
              <w:rPr>
                <w:i/>
                <w:sz w:val="24"/>
              </w:rPr>
              <w:t xml:space="preserve"> годом – </w:t>
            </w:r>
            <w:r w:rsidRPr="00C44EE6">
              <w:rPr>
                <w:i/>
                <w:sz w:val="24"/>
                <w:lang w:val="ky-KG"/>
              </w:rPr>
              <w:t xml:space="preserve">сократилось </w:t>
            </w:r>
            <w:r w:rsidRPr="00C44EE6">
              <w:rPr>
                <w:i/>
                <w:sz w:val="24"/>
              </w:rPr>
              <w:t xml:space="preserve">на </w:t>
            </w:r>
            <w:r w:rsidRPr="00C44EE6">
              <w:rPr>
                <w:i/>
                <w:sz w:val="24"/>
                <w:lang w:val="ky-KG"/>
              </w:rPr>
              <w:t>1,1</w:t>
            </w:r>
            <w:r w:rsidRPr="00C44EE6">
              <w:rPr>
                <w:i/>
                <w:sz w:val="24"/>
              </w:rPr>
              <w:t xml:space="preserve"> процента (на 359</w:t>
            </w:r>
            <w:r w:rsidRPr="00C44EE6">
              <w:rPr>
                <w:i/>
                <w:sz w:val="24"/>
                <w:lang w:val="ky-KG"/>
              </w:rPr>
              <w:t xml:space="preserve"> </w:t>
            </w:r>
            <w:proofErr w:type="spellStart"/>
            <w:r w:rsidRPr="00C44EE6">
              <w:rPr>
                <w:i/>
                <w:sz w:val="24"/>
              </w:rPr>
              <w:t>случа</w:t>
            </w:r>
            <w:proofErr w:type="spellEnd"/>
            <w:r w:rsidRPr="00C44EE6">
              <w:rPr>
                <w:i/>
                <w:sz w:val="24"/>
                <w:lang w:val="ky-KG"/>
              </w:rPr>
              <w:t>я</w:t>
            </w:r>
            <w:r w:rsidRPr="00C44EE6">
              <w:rPr>
                <w:i/>
                <w:sz w:val="24"/>
              </w:rPr>
              <w:t>)</w:t>
            </w:r>
            <w:r w:rsidRPr="00C44EE6">
              <w:rPr>
                <w:i/>
                <w:sz w:val="24"/>
                <w:lang w:val="ky-KG"/>
              </w:rPr>
              <w:t xml:space="preserve"> увеличилась.</w:t>
            </w:r>
            <w:r w:rsidR="00416B4D" w:rsidRPr="00C44EE6">
              <w:rPr>
                <w:i/>
                <w:sz w:val="24"/>
                <w:lang w:val="ky-KG"/>
              </w:rPr>
              <w:t>.</w:t>
            </w:r>
          </w:p>
        </w:tc>
      </w:tr>
      <w:tr w:rsidR="00416B4D" w:rsidRPr="00C44EE6" w14:paraId="5725A4CD" w14:textId="77777777" w:rsidTr="00F45C31">
        <w:tc>
          <w:tcPr>
            <w:tcW w:w="4677" w:type="dxa"/>
          </w:tcPr>
          <w:p w14:paraId="4857FF85" w14:textId="4E060055" w:rsidR="00416B4D" w:rsidRPr="00C44EE6" w:rsidRDefault="00054DA8" w:rsidP="00F45C31">
            <w:pPr>
              <w:ind w:firstLine="708"/>
              <w:jc w:val="both"/>
              <w:rPr>
                <w:b/>
                <w:sz w:val="24"/>
              </w:rPr>
            </w:pPr>
            <w:r w:rsidRPr="00C44EE6">
              <w:rPr>
                <w:sz w:val="24"/>
                <w:lang w:val="ky-KG"/>
              </w:rPr>
              <w:t xml:space="preserve">2024-жылы </w:t>
            </w:r>
            <w:proofErr w:type="spellStart"/>
            <w:r w:rsidRPr="00C44EE6">
              <w:rPr>
                <w:sz w:val="24"/>
              </w:rPr>
              <w:t>жалпы</w:t>
            </w:r>
            <w:proofErr w:type="spellEnd"/>
            <w:r w:rsidRPr="00C44EE6">
              <w:rPr>
                <w:sz w:val="24"/>
              </w:rPr>
              <w:t xml:space="preserve"> </w:t>
            </w:r>
            <w:r w:rsidRPr="00C44EE6">
              <w:rPr>
                <w:sz w:val="24"/>
                <w:lang w:val="ky-KG"/>
              </w:rPr>
              <w:t xml:space="preserve">катталган кылмыштардын </w:t>
            </w:r>
            <w:r w:rsidRPr="00C44EE6">
              <w:rPr>
                <w:sz w:val="24"/>
              </w:rPr>
              <w:t>саны</w:t>
            </w:r>
            <w:r w:rsidRPr="00C44EE6">
              <w:rPr>
                <w:rFonts w:ascii="Times New Roman UniToktom" w:hAnsi="Times New Roman UniToktom" w:cs="Times New Roman UniToktom"/>
                <w:sz w:val="24"/>
                <w:lang w:val="ky-KG"/>
              </w:rPr>
              <w:t xml:space="preserve"> 2020-жылга карата баңги каражаттарын мыйзамсыз жүгүртүүсүнө байланыштуу кылмыштар 168,6  пайызга кобөйгөн, карактап кол салуу – 45,5 пайызга азайган</w:t>
            </w:r>
            <w:r w:rsidR="00F70B18" w:rsidRPr="00C44EE6">
              <w:rPr>
                <w:rFonts w:ascii="Times New Roman UniToktom" w:hAnsi="Times New Roman UniToktom" w:cs="Times New Roman UniToktom"/>
                <w:sz w:val="24"/>
              </w:rPr>
              <w:t>.</w:t>
            </w:r>
            <w:r w:rsidRPr="00C44EE6">
              <w:rPr>
                <w:rFonts w:ascii="Times New Roman UniToktom" w:hAnsi="Times New Roman UniToktom" w:cs="Times New Roman UniToktom"/>
                <w:sz w:val="24"/>
                <w:lang w:val="ky-KG"/>
              </w:rPr>
              <w:t xml:space="preserve"> </w:t>
            </w:r>
          </w:p>
        </w:tc>
        <w:tc>
          <w:tcPr>
            <w:tcW w:w="4820" w:type="dxa"/>
          </w:tcPr>
          <w:p w14:paraId="72F25EA4" w14:textId="3CC56393" w:rsidR="00416B4D" w:rsidRPr="00C44EE6" w:rsidRDefault="00054DA8" w:rsidP="00F45C31">
            <w:pPr>
              <w:ind w:firstLine="708"/>
              <w:jc w:val="both"/>
              <w:rPr>
                <w:b/>
                <w:i/>
                <w:sz w:val="24"/>
              </w:rPr>
            </w:pPr>
            <w:r w:rsidRPr="00C44EE6">
              <w:rPr>
                <w:i/>
                <w:sz w:val="24"/>
              </w:rPr>
              <w:t xml:space="preserve">Из общего числа </w:t>
            </w:r>
            <w:proofErr w:type="spellStart"/>
            <w:proofErr w:type="gramStart"/>
            <w:r w:rsidRPr="00C44EE6">
              <w:rPr>
                <w:i/>
                <w:sz w:val="24"/>
              </w:rPr>
              <w:t>зарегистриро</w:t>
            </w:r>
            <w:proofErr w:type="spellEnd"/>
            <w:r w:rsidRPr="00C44EE6">
              <w:rPr>
                <w:i/>
                <w:sz w:val="24"/>
                <w:lang w:val="ky-KG"/>
              </w:rPr>
              <w:t>-</w:t>
            </w:r>
            <w:r w:rsidRPr="00C44EE6">
              <w:rPr>
                <w:i/>
                <w:sz w:val="24"/>
              </w:rPr>
              <w:t>ван</w:t>
            </w:r>
            <w:r w:rsidRPr="00C44EE6">
              <w:rPr>
                <w:i/>
                <w:sz w:val="24"/>
                <w:lang w:val="ky-KG"/>
              </w:rPr>
              <w:t>ных</w:t>
            </w:r>
            <w:proofErr w:type="gramEnd"/>
            <w:r w:rsidRPr="00C44EE6">
              <w:rPr>
                <w:i/>
                <w:sz w:val="24"/>
              </w:rPr>
              <w:t xml:space="preserve"> преступлений по видам, </w:t>
            </w:r>
            <w:r w:rsidRPr="00C44EE6">
              <w:rPr>
                <w:i/>
                <w:sz w:val="24"/>
                <w:lang w:val="ky-KG"/>
              </w:rPr>
              <w:t xml:space="preserve">в 2024 году </w:t>
            </w:r>
            <w:r w:rsidRPr="00C44EE6">
              <w:rPr>
                <w:i/>
                <w:sz w:val="24"/>
              </w:rPr>
              <w:t xml:space="preserve">по сравнению с 2020 годом, </w:t>
            </w:r>
            <w:r w:rsidRPr="00C44EE6">
              <w:rPr>
                <w:i/>
                <w:sz w:val="24"/>
                <w:lang w:val="ky-KG"/>
              </w:rPr>
              <w:t>увеличи</w:t>
            </w:r>
            <w:r w:rsidRPr="00C44EE6">
              <w:rPr>
                <w:i/>
                <w:sz w:val="24"/>
              </w:rPr>
              <w:t>л</w:t>
            </w:r>
            <w:r w:rsidRPr="00C44EE6">
              <w:rPr>
                <w:i/>
                <w:sz w:val="24"/>
                <w:lang w:val="ky-KG"/>
              </w:rPr>
              <w:t>а</w:t>
            </w:r>
            <w:proofErr w:type="spellStart"/>
            <w:r w:rsidRPr="00C44EE6">
              <w:rPr>
                <w:i/>
                <w:sz w:val="24"/>
              </w:rPr>
              <w:t>сь</w:t>
            </w:r>
            <w:proofErr w:type="spellEnd"/>
            <w:r w:rsidRPr="00C44EE6">
              <w:rPr>
                <w:i/>
                <w:sz w:val="24"/>
              </w:rPr>
              <w:t xml:space="preserve"> преступления, связанные с </w:t>
            </w:r>
            <w:r w:rsidRPr="00C44EE6">
              <w:rPr>
                <w:i/>
                <w:sz w:val="24"/>
                <w:lang w:val="ky-KG"/>
              </w:rPr>
              <w:t>незаконным оборотом наркотиков</w:t>
            </w:r>
            <w:r w:rsidRPr="00C44EE6">
              <w:rPr>
                <w:i/>
                <w:sz w:val="24"/>
              </w:rPr>
              <w:t xml:space="preserve"> – </w:t>
            </w:r>
            <w:r w:rsidRPr="00C44EE6">
              <w:rPr>
                <w:i/>
                <w:sz w:val="24"/>
                <w:lang w:val="ky-KG"/>
              </w:rPr>
              <w:t>на 168,6 процента</w:t>
            </w:r>
            <w:proofErr w:type="gramStart"/>
            <w:r w:rsidRPr="00C44EE6">
              <w:rPr>
                <w:i/>
                <w:sz w:val="24"/>
                <w:lang w:val="ky-KG"/>
              </w:rPr>
              <w:t>, ,</w:t>
            </w:r>
            <w:proofErr w:type="gramEnd"/>
            <w:r w:rsidRPr="00C44EE6">
              <w:rPr>
                <w:i/>
                <w:sz w:val="24"/>
                <w:lang w:val="ky-KG"/>
              </w:rPr>
              <w:t xml:space="preserve"> разбоем – на 45,4 уменшилась</w:t>
            </w:r>
            <w:r w:rsidR="00F70B18" w:rsidRPr="00C44EE6">
              <w:rPr>
                <w:i/>
                <w:sz w:val="24"/>
              </w:rPr>
              <w:t>.</w:t>
            </w:r>
          </w:p>
        </w:tc>
      </w:tr>
    </w:tbl>
    <w:p w14:paraId="5A30239D" w14:textId="77777777" w:rsidR="00416B4D" w:rsidRPr="00C44EE6" w:rsidRDefault="00416B4D" w:rsidP="00416B4D">
      <w:pPr>
        <w:ind w:firstLine="708"/>
        <w:rPr>
          <w:sz w:val="24"/>
          <w:highlight w:val="yellow"/>
        </w:rPr>
      </w:pPr>
    </w:p>
    <w:tbl>
      <w:tblPr>
        <w:tblW w:w="9497" w:type="dxa"/>
        <w:tblInd w:w="250" w:type="dxa"/>
        <w:tblLook w:val="04A0" w:firstRow="1" w:lastRow="0" w:firstColumn="1" w:lastColumn="0" w:noHBand="0" w:noVBand="1"/>
      </w:tblPr>
      <w:tblGrid>
        <w:gridCol w:w="4677"/>
        <w:gridCol w:w="4820"/>
      </w:tblGrid>
      <w:tr w:rsidR="00C44EE6" w:rsidRPr="00C44EE6" w14:paraId="144133DE" w14:textId="77777777" w:rsidTr="00F45C31">
        <w:tc>
          <w:tcPr>
            <w:tcW w:w="4677" w:type="dxa"/>
          </w:tcPr>
          <w:p w14:paraId="03D32165" w14:textId="39D54B00" w:rsidR="00CC7854" w:rsidRPr="00C44EE6" w:rsidRDefault="00CC7854" w:rsidP="00CC7854">
            <w:pPr>
              <w:jc w:val="both"/>
              <w:rPr>
                <w:sz w:val="24"/>
              </w:rPr>
            </w:pPr>
            <w:proofErr w:type="spellStart"/>
            <w:r w:rsidRPr="00C44EE6">
              <w:rPr>
                <w:b/>
                <w:sz w:val="24"/>
              </w:rPr>
              <w:t>Коммуналдык</w:t>
            </w:r>
            <w:proofErr w:type="spellEnd"/>
            <w:r w:rsidRPr="00C44EE6">
              <w:rPr>
                <w:b/>
                <w:sz w:val="24"/>
              </w:rPr>
              <w:t xml:space="preserve"> </w:t>
            </w:r>
            <w:proofErr w:type="spellStart"/>
            <w:r w:rsidRPr="00C44EE6">
              <w:rPr>
                <w:b/>
                <w:sz w:val="24"/>
              </w:rPr>
              <w:t>кызмат</w:t>
            </w:r>
            <w:proofErr w:type="spellEnd"/>
            <w:r w:rsidRPr="00C44EE6">
              <w:rPr>
                <w:b/>
                <w:sz w:val="24"/>
              </w:rPr>
              <w:t xml:space="preserve"> </w:t>
            </w:r>
            <w:proofErr w:type="spellStart"/>
            <w:r w:rsidRPr="00C44EE6">
              <w:rPr>
                <w:b/>
                <w:sz w:val="24"/>
              </w:rPr>
              <w:t>көрсөтүүлөр</w:t>
            </w:r>
            <w:proofErr w:type="spellEnd"/>
            <w:r w:rsidRPr="00C44EE6">
              <w:rPr>
                <w:sz w:val="24"/>
              </w:rPr>
              <w:t xml:space="preserve">. </w:t>
            </w:r>
            <w:proofErr w:type="spellStart"/>
            <w:r w:rsidRPr="00C44EE6">
              <w:rPr>
                <w:sz w:val="24"/>
              </w:rPr>
              <w:t>Суу</w:t>
            </w:r>
            <w:proofErr w:type="spellEnd"/>
            <w:r w:rsidRPr="00C44EE6">
              <w:rPr>
                <w:sz w:val="24"/>
              </w:rPr>
              <w:t xml:space="preserve"> </w:t>
            </w:r>
            <w:proofErr w:type="spellStart"/>
            <w:r w:rsidRPr="00C44EE6">
              <w:rPr>
                <w:sz w:val="24"/>
              </w:rPr>
              <w:t>түтүк</w:t>
            </w:r>
            <w:proofErr w:type="spellEnd"/>
            <w:r w:rsidRPr="00C44EE6">
              <w:rPr>
                <w:sz w:val="24"/>
              </w:rPr>
              <w:t xml:space="preserve">-канализация </w:t>
            </w:r>
            <w:proofErr w:type="spellStart"/>
            <w:r w:rsidRPr="00C44EE6">
              <w:rPr>
                <w:sz w:val="24"/>
              </w:rPr>
              <w:t>чарбасы</w:t>
            </w:r>
            <w:proofErr w:type="spellEnd"/>
            <w:r w:rsidRPr="00C44EE6">
              <w:rPr>
                <w:sz w:val="24"/>
              </w:rPr>
              <w:t xml:space="preserve"> </w:t>
            </w:r>
            <w:proofErr w:type="spellStart"/>
            <w:r w:rsidRPr="00C44EE6">
              <w:rPr>
                <w:sz w:val="24"/>
              </w:rPr>
              <w:t>облустун</w:t>
            </w:r>
            <w:proofErr w:type="spellEnd"/>
            <w:r w:rsidRPr="00C44EE6">
              <w:rPr>
                <w:sz w:val="24"/>
              </w:rPr>
              <w:t xml:space="preserve"> </w:t>
            </w:r>
            <w:proofErr w:type="spellStart"/>
            <w:r w:rsidRPr="00C44EE6">
              <w:rPr>
                <w:sz w:val="24"/>
              </w:rPr>
              <w:t>социалдык</w:t>
            </w:r>
            <w:proofErr w:type="spellEnd"/>
            <w:r w:rsidRPr="00C44EE6">
              <w:rPr>
                <w:sz w:val="24"/>
              </w:rPr>
              <w:t xml:space="preserve"> </w:t>
            </w:r>
            <w:proofErr w:type="spellStart"/>
            <w:r w:rsidRPr="00C44EE6">
              <w:rPr>
                <w:sz w:val="24"/>
              </w:rPr>
              <w:t>инфраструктурасынын</w:t>
            </w:r>
            <w:proofErr w:type="spellEnd"/>
            <w:r w:rsidRPr="00C44EE6">
              <w:rPr>
                <w:sz w:val="24"/>
              </w:rPr>
              <w:t xml:space="preserve"> </w:t>
            </w:r>
            <w:proofErr w:type="spellStart"/>
            <w:r w:rsidRPr="00C44EE6">
              <w:rPr>
                <w:sz w:val="24"/>
              </w:rPr>
              <w:t>маанилүү</w:t>
            </w:r>
            <w:proofErr w:type="spellEnd"/>
            <w:r w:rsidRPr="00C44EE6">
              <w:rPr>
                <w:sz w:val="24"/>
              </w:rPr>
              <w:t xml:space="preserve"> </w:t>
            </w:r>
            <w:proofErr w:type="spellStart"/>
            <w:r w:rsidRPr="00C44EE6">
              <w:rPr>
                <w:sz w:val="24"/>
              </w:rPr>
              <w:t>курамдык</w:t>
            </w:r>
            <w:proofErr w:type="spellEnd"/>
            <w:r w:rsidRPr="00C44EE6">
              <w:rPr>
                <w:sz w:val="24"/>
              </w:rPr>
              <w:t xml:space="preserve"> </w:t>
            </w:r>
            <w:proofErr w:type="spellStart"/>
            <w:r w:rsidRPr="00C44EE6">
              <w:rPr>
                <w:sz w:val="24"/>
              </w:rPr>
              <w:t>бөлүгү</w:t>
            </w:r>
            <w:proofErr w:type="spellEnd"/>
            <w:r w:rsidRPr="00C44EE6">
              <w:rPr>
                <w:sz w:val="24"/>
              </w:rPr>
              <w:t xml:space="preserve"> </w:t>
            </w:r>
            <w:proofErr w:type="spellStart"/>
            <w:r w:rsidRPr="00C44EE6">
              <w:rPr>
                <w:sz w:val="24"/>
              </w:rPr>
              <w:t>болуп</w:t>
            </w:r>
            <w:proofErr w:type="spellEnd"/>
            <w:r w:rsidRPr="00C44EE6">
              <w:rPr>
                <w:sz w:val="24"/>
              </w:rPr>
              <w:t xml:space="preserve"> </w:t>
            </w:r>
            <w:proofErr w:type="spellStart"/>
            <w:r w:rsidRPr="00C44EE6">
              <w:rPr>
                <w:sz w:val="24"/>
              </w:rPr>
              <w:t>саналат</w:t>
            </w:r>
            <w:proofErr w:type="spellEnd"/>
            <w:r w:rsidRPr="00C44EE6">
              <w:rPr>
                <w:sz w:val="24"/>
              </w:rPr>
              <w:t>.</w:t>
            </w:r>
          </w:p>
        </w:tc>
        <w:tc>
          <w:tcPr>
            <w:tcW w:w="4820" w:type="dxa"/>
          </w:tcPr>
          <w:p w14:paraId="55B4CD9F" w14:textId="3D036286" w:rsidR="00CC7854" w:rsidRPr="00C44EE6" w:rsidRDefault="00CC7854" w:rsidP="00CC7854">
            <w:pPr>
              <w:ind w:firstLine="708"/>
              <w:jc w:val="both"/>
              <w:rPr>
                <w:i/>
                <w:sz w:val="24"/>
              </w:rPr>
            </w:pPr>
            <w:r w:rsidRPr="00C44EE6">
              <w:rPr>
                <w:b/>
                <w:i/>
                <w:sz w:val="24"/>
              </w:rPr>
              <w:t>Коммунальные услуги.</w:t>
            </w:r>
            <w:r w:rsidRPr="00C44EE6">
              <w:rPr>
                <w:i/>
                <w:sz w:val="24"/>
              </w:rPr>
              <w:t xml:space="preserve"> Важнейшей составной частью социальной инфраструктуры области является водопроводно-канализационные хозяйство.</w:t>
            </w:r>
          </w:p>
        </w:tc>
      </w:tr>
      <w:tr w:rsidR="00C44EE6" w:rsidRPr="00C44EE6" w14:paraId="724CC07F" w14:textId="77777777" w:rsidTr="00F45C31">
        <w:tc>
          <w:tcPr>
            <w:tcW w:w="4677" w:type="dxa"/>
          </w:tcPr>
          <w:p w14:paraId="246F7CBA" w14:textId="1971DEB8" w:rsidR="00CC7854" w:rsidRPr="00C44EE6" w:rsidRDefault="00CC7854" w:rsidP="00CC7854">
            <w:pPr>
              <w:ind w:firstLine="708"/>
              <w:jc w:val="both"/>
              <w:rPr>
                <w:sz w:val="24"/>
              </w:rPr>
            </w:pPr>
            <w:proofErr w:type="spellStart"/>
            <w:r w:rsidRPr="00C44EE6">
              <w:rPr>
                <w:sz w:val="24"/>
              </w:rPr>
              <w:t>Облустун</w:t>
            </w:r>
            <w:proofErr w:type="spellEnd"/>
            <w:r w:rsidRPr="00C44EE6">
              <w:rPr>
                <w:sz w:val="24"/>
              </w:rPr>
              <w:t xml:space="preserve"> </w:t>
            </w:r>
            <w:proofErr w:type="spellStart"/>
            <w:r w:rsidRPr="00C44EE6">
              <w:rPr>
                <w:sz w:val="24"/>
              </w:rPr>
              <w:t>аймагында</w:t>
            </w:r>
            <w:proofErr w:type="spellEnd"/>
            <w:r w:rsidRPr="00C44EE6">
              <w:rPr>
                <w:sz w:val="24"/>
              </w:rPr>
              <w:t xml:space="preserve"> 20</w:t>
            </w:r>
            <w:r w:rsidRPr="00C44EE6">
              <w:rPr>
                <w:sz w:val="24"/>
                <w:lang w:val="ky-KG"/>
              </w:rPr>
              <w:t>24</w:t>
            </w:r>
            <w:r w:rsidRPr="00C44EE6">
              <w:rPr>
                <w:sz w:val="24"/>
              </w:rPr>
              <w:t>-</w:t>
            </w:r>
            <w:proofErr w:type="spellStart"/>
            <w:r w:rsidRPr="00C44EE6">
              <w:rPr>
                <w:sz w:val="24"/>
              </w:rPr>
              <w:t>жылы</w:t>
            </w:r>
            <w:proofErr w:type="spellEnd"/>
            <w:r w:rsidRPr="00C44EE6">
              <w:rPr>
                <w:sz w:val="24"/>
              </w:rPr>
              <w:t xml:space="preserve"> 2</w:t>
            </w:r>
            <w:r w:rsidRPr="00C44EE6">
              <w:rPr>
                <w:sz w:val="24"/>
                <w:lang w:val="ky-KG"/>
              </w:rPr>
              <w:t>38,1</w:t>
            </w:r>
            <w:r w:rsidRPr="00C44EE6">
              <w:rPr>
                <w:sz w:val="24"/>
              </w:rPr>
              <w:t xml:space="preserve"> км канализация </w:t>
            </w:r>
            <w:proofErr w:type="spellStart"/>
            <w:r w:rsidRPr="00C44EE6">
              <w:rPr>
                <w:sz w:val="24"/>
              </w:rPr>
              <w:t>тармагы</w:t>
            </w:r>
            <w:proofErr w:type="spellEnd"/>
            <w:r w:rsidRPr="00C44EE6">
              <w:rPr>
                <w:sz w:val="24"/>
              </w:rPr>
              <w:t xml:space="preserve"> </w:t>
            </w:r>
            <w:proofErr w:type="spellStart"/>
            <w:r w:rsidRPr="00C44EE6">
              <w:rPr>
                <w:sz w:val="24"/>
              </w:rPr>
              <w:t>жайгашкан</w:t>
            </w:r>
            <w:proofErr w:type="spellEnd"/>
            <w:r w:rsidRPr="00C44EE6">
              <w:rPr>
                <w:sz w:val="24"/>
              </w:rPr>
              <w:t xml:space="preserve"> </w:t>
            </w:r>
            <w:proofErr w:type="spellStart"/>
            <w:r w:rsidRPr="00C44EE6">
              <w:rPr>
                <w:sz w:val="24"/>
              </w:rPr>
              <w:t>жана</w:t>
            </w:r>
            <w:proofErr w:type="spellEnd"/>
            <w:r w:rsidRPr="00C44EE6">
              <w:rPr>
                <w:sz w:val="24"/>
              </w:rPr>
              <w:t xml:space="preserve"> </w:t>
            </w:r>
            <w:proofErr w:type="spellStart"/>
            <w:r w:rsidRPr="00C44EE6">
              <w:rPr>
                <w:sz w:val="24"/>
              </w:rPr>
              <w:t>алар</w:t>
            </w:r>
            <w:proofErr w:type="spellEnd"/>
            <w:r w:rsidRPr="00C44EE6">
              <w:rPr>
                <w:sz w:val="24"/>
              </w:rPr>
              <w:t xml:space="preserve"> </w:t>
            </w:r>
            <w:proofErr w:type="spellStart"/>
            <w:r w:rsidRPr="00C44EE6">
              <w:rPr>
                <w:sz w:val="24"/>
              </w:rPr>
              <w:t>боюнча</w:t>
            </w:r>
            <w:proofErr w:type="spellEnd"/>
            <w:r w:rsidRPr="00C44EE6">
              <w:rPr>
                <w:sz w:val="24"/>
              </w:rPr>
              <w:t xml:space="preserve"> 9659,9 </w:t>
            </w:r>
            <w:proofErr w:type="spellStart"/>
            <w:r w:rsidRPr="00C44EE6">
              <w:rPr>
                <w:sz w:val="24"/>
              </w:rPr>
              <w:t>миң</w:t>
            </w:r>
            <w:proofErr w:type="spellEnd"/>
            <w:r w:rsidRPr="00C44EE6">
              <w:rPr>
                <w:sz w:val="24"/>
              </w:rPr>
              <w:t xml:space="preserve"> куб метр </w:t>
            </w:r>
            <w:proofErr w:type="spellStart"/>
            <w:r w:rsidRPr="00C44EE6">
              <w:rPr>
                <w:sz w:val="24"/>
              </w:rPr>
              <w:t>саркынды</w:t>
            </w:r>
            <w:proofErr w:type="spellEnd"/>
            <w:r w:rsidRPr="00C44EE6">
              <w:rPr>
                <w:sz w:val="24"/>
              </w:rPr>
              <w:t xml:space="preserve"> </w:t>
            </w:r>
            <w:proofErr w:type="spellStart"/>
            <w:r w:rsidRPr="00C44EE6">
              <w:rPr>
                <w:sz w:val="24"/>
              </w:rPr>
              <w:t>суулар</w:t>
            </w:r>
            <w:proofErr w:type="spellEnd"/>
            <w:r w:rsidRPr="00C44EE6">
              <w:rPr>
                <w:sz w:val="24"/>
                <w:lang w:val="ky-KG"/>
              </w:rPr>
              <w:t xml:space="preserve"> өткөрүлгөн</w:t>
            </w:r>
            <w:r w:rsidRPr="00C44EE6">
              <w:rPr>
                <w:sz w:val="24"/>
              </w:rPr>
              <w:t xml:space="preserve"> </w:t>
            </w:r>
          </w:p>
        </w:tc>
        <w:tc>
          <w:tcPr>
            <w:tcW w:w="4820" w:type="dxa"/>
          </w:tcPr>
          <w:p w14:paraId="6410C46F" w14:textId="5D7BB2DA" w:rsidR="00CC7854" w:rsidRPr="00C44EE6" w:rsidRDefault="00CC7854" w:rsidP="00CC7854">
            <w:pPr>
              <w:ind w:firstLine="708"/>
              <w:jc w:val="both"/>
              <w:rPr>
                <w:i/>
                <w:sz w:val="24"/>
              </w:rPr>
            </w:pPr>
            <w:r w:rsidRPr="00C44EE6">
              <w:rPr>
                <w:i/>
                <w:sz w:val="24"/>
              </w:rPr>
              <w:t>На территории области в 20</w:t>
            </w:r>
            <w:r w:rsidRPr="00C44EE6">
              <w:rPr>
                <w:i/>
                <w:sz w:val="24"/>
                <w:lang w:val="ky-KG"/>
              </w:rPr>
              <w:t>24</w:t>
            </w:r>
            <w:r w:rsidRPr="00C44EE6">
              <w:rPr>
                <w:i/>
                <w:sz w:val="24"/>
              </w:rPr>
              <w:t xml:space="preserve"> году находится </w:t>
            </w:r>
            <w:r w:rsidRPr="00C44EE6">
              <w:rPr>
                <w:i/>
                <w:sz w:val="24"/>
                <w:lang w:val="ky-KG"/>
              </w:rPr>
              <w:t>238,1</w:t>
            </w:r>
            <w:r w:rsidRPr="00C44EE6">
              <w:rPr>
                <w:i/>
                <w:sz w:val="24"/>
              </w:rPr>
              <w:t xml:space="preserve"> километров одиночного протяжения уличной канализационной сети, и по ним пропущено 9659,9 тысячи кубических метров сточных вод.</w:t>
            </w:r>
          </w:p>
        </w:tc>
      </w:tr>
      <w:tr w:rsidR="00C44EE6" w:rsidRPr="00C44EE6" w14:paraId="74E7C89F" w14:textId="77777777" w:rsidTr="00F45C31">
        <w:tc>
          <w:tcPr>
            <w:tcW w:w="4677" w:type="dxa"/>
          </w:tcPr>
          <w:p w14:paraId="0581B0BE" w14:textId="600EA6BA" w:rsidR="00CC7854" w:rsidRPr="00C44EE6" w:rsidRDefault="00CC7854" w:rsidP="00CC7854">
            <w:pPr>
              <w:ind w:firstLine="708"/>
              <w:jc w:val="both"/>
              <w:rPr>
                <w:sz w:val="24"/>
              </w:rPr>
            </w:pPr>
            <w:proofErr w:type="spellStart"/>
            <w:r w:rsidRPr="00C44EE6">
              <w:rPr>
                <w:sz w:val="24"/>
              </w:rPr>
              <w:t>Облустун</w:t>
            </w:r>
            <w:proofErr w:type="spellEnd"/>
            <w:r w:rsidRPr="00C44EE6">
              <w:rPr>
                <w:sz w:val="24"/>
              </w:rPr>
              <w:t xml:space="preserve"> </w:t>
            </w:r>
            <w:proofErr w:type="spellStart"/>
            <w:r w:rsidRPr="00C44EE6">
              <w:rPr>
                <w:sz w:val="24"/>
              </w:rPr>
              <w:t>аймагындагы</w:t>
            </w:r>
            <w:proofErr w:type="spellEnd"/>
            <w:r w:rsidRPr="00C44EE6">
              <w:rPr>
                <w:sz w:val="24"/>
              </w:rPr>
              <w:t xml:space="preserve"> </w:t>
            </w:r>
            <w:proofErr w:type="spellStart"/>
            <w:r w:rsidRPr="00C44EE6">
              <w:rPr>
                <w:sz w:val="24"/>
              </w:rPr>
              <w:t>бардык</w:t>
            </w:r>
            <w:proofErr w:type="spellEnd"/>
            <w:r w:rsidRPr="00C44EE6">
              <w:rPr>
                <w:sz w:val="24"/>
              </w:rPr>
              <w:t xml:space="preserve"> </w:t>
            </w:r>
            <w:proofErr w:type="spellStart"/>
            <w:r w:rsidRPr="00C44EE6">
              <w:rPr>
                <w:sz w:val="24"/>
              </w:rPr>
              <w:t>жашыл</w:t>
            </w:r>
            <w:proofErr w:type="spellEnd"/>
            <w:r w:rsidRPr="00C44EE6">
              <w:rPr>
                <w:sz w:val="24"/>
              </w:rPr>
              <w:t xml:space="preserve"> </w:t>
            </w:r>
            <w:proofErr w:type="spellStart"/>
            <w:r w:rsidRPr="00C44EE6">
              <w:rPr>
                <w:sz w:val="24"/>
              </w:rPr>
              <w:t>өсүмдүктөрдүн</w:t>
            </w:r>
            <w:proofErr w:type="spellEnd"/>
            <w:r w:rsidRPr="00C44EE6">
              <w:rPr>
                <w:sz w:val="24"/>
              </w:rPr>
              <w:t xml:space="preserve"> </w:t>
            </w:r>
            <w:proofErr w:type="spellStart"/>
            <w:r w:rsidRPr="00C44EE6">
              <w:rPr>
                <w:sz w:val="24"/>
              </w:rPr>
              <w:t>жалпы</w:t>
            </w:r>
            <w:proofErr w:type="spellEnd"/>
            <w:r w:rsidRPr="00C44EE6">
              <w:rPr>
                <w:sz w:val="24"/>
              </w:rPr>
              <w:t xml:space="preserve"> </w:t>
            </w:r>
            <w:proofErr w:type="spellStart"/>
            <w:r w:rsidRPr="00C44EE6">
              <w:rPr>
                <w:sz w:val="24"/>
              </w:rPr>
              <w:t>аянты</w:t>
            </w:r>
            <w:proofErr w:type="spellEnd"/>
            <w:r w:rsidRPr="00C44EE6">
              <w:rPr>
                <w:sz w:val="24"/>
                <w:lang w:val="ky-KG"/>
              </w:rPr>
              <w:t xml:space="preserve"> 894,</w:t>
            </w:r>
            <w:proofErr w:type="gramStart"/>
            <w:r w:rsidRPr="00C44EE6">
              <w:rPr>
                <w:sz w:val="24"/>
                <w:lang w:val="ky-KG"/>
              </w:rPr>
              <w:t>8</w:t>
            </w:r>
            <w:r w:rsidRPr="00C44EE6">
              <w:rPr>
                <w:sz w:val="24"/>
              </w:rPr>
              <w:t xml:space="preserve">  </w:t>
            </w:r>
            <w:proofErr w:type="spellStart"/>
            <w:r w:rsidRPr="00C44EE6">
              <w:rPr>
                <w:sz w:val="24"/>
              </w:rPr>
              <w:t>гектарды</w:t>
            </w:r>
            <w:proofErr w:type="spellEnd"/>
            <w:proofErr w:type="gramEnd"/>
            <w:r w:rsidRPr="00C44EE6">
              <w:rPr>
                <w:sz w:val="24"/>
              </w:rPr>
              <w:t xml:space="preserve"> </w:t>
            </w:r>
            <w:proofErr w:type="spellStart"/>
            <w:r w:rsidRPr="00C44EE6">
              <w:rPr>
                <w:sz w:val="24"/>
              </w:rPr>
              <w:t>түзөт</w:t>
            </w:r>
            <w:proofErr w:type="spellEnd"/>
            <w:r w:rsidRPr="00C44EE6">
              <w:rPr>
                <w:sz w:val="24"/>
              </w:rPr>
              <w:t xml:space="preserve">. Ал </w:t>
            </w:r>
            <w:proofErr w:type="spellStart"/>
            <w:r w:rsidRPr="00C44EE6">
              <w:rPr>
                <w:sz w:val="24"/>
              </w:rPr>
              <w:t>эми</w:t>
            </w:r>
            <w:proofErr w:type="spellEnd"/>
            <w:r w:rsidRPr="00C44EE6">
              <w:rPr>
                <w:sz w:val="24"/>
              </w:rPr>
              <w:t xml:space="preserve">, </w:t>
            </w:r>
            <w:proofErr w:type="spellStart"/>
            <w:r w:rsidRPr="00C44EE6">
              <w:rPr>
                <w:sz w:val="24"/>
              </w:rPr>
              <w:t>көчөлөрдөн</w:t>
            </w:r>
            <w:proofErr w:type="spellEnd"/>
            <w:r w:rsidRPr="00C44EE6">
              <w:rPr>
                <w:sz w:val="24"/>
              </w:rPr>
              <w:t xml:space="preserve">, </w:t>
            </w:r>
            <w:proofErr w:type="spellStart"/>
            <w:r w:rsidRPr="00C44EE6">
              <w:rPr>
                <w:sz w:val="24"/>
              </w:rPr>
              <w:t>өтүүчу</w:t>
            </w:r>
            <w:proofErr w:type="spellEnd"/>
            <w:r w:rsidRPr="00C44EE6">
              <w:rPr>
                <w:sz w:val="24"/>
              </w:rPr>
              <w:t xml:space="preserve"> </w:t>
            </w:r>
            <w:proofErr w:type="spellStart"/>
            <w:r w:rsidRPr="00C44EE6">
              <w:rPr>
                <w:sz w:val="24"/>
              </w:rPr>
              <w:t>жолдордун</w:t>
            </w:r>
            <w:proofErr w:type="spellEnd"/>
            <w:r w:rsidRPr="00C44EE6">
              <w:rPr>
                <w:sz w:val="24"/>
                <w:lang w:val="ky-KG"/>
              </w:rPr>
              <w:t xml:space="preserve"> узундугу 2514,8</w:t>
            </w:r>
            <w:r w:rsidRPr="00C44EE6">
              <w:rPr>
                <w:sz w:val="24"/>
              </w:rPr>
              <w:t xml:space="preserve"> </w:t>
            </w:r>
            <w:proofErr w:type="spellStart"/>
            <w:r w:rsidRPr="00C44EE6">
              <w:rPr>
                <w:sz w:val="24"/>
              </w:rPr>
              <w:t>жана</w:t>
            </w:r>
            <w:proofErr w:type="spellEnd"/>
            <w:r w:rsidRPr="00C44EE6">
              <w:rPr>
                <w:sz w:val="24"/>
              </w:rPr>
              <w:t xml:space="preserve"> </w:t>
            </w:r>
            <w:proofErr w:type="spellStart"/>
            <w:r w:rsidRPr="00C44EE6">
              <w:rPr>
                <w:sz w:val="24"/>
              </w:rPr>
              <w:t>жээктеги</w:t>
            </w:r>
            <w:proofErr w:type="spellEnd"/>
            <w:r w:rsidRPr="00C44EE6">
              <w:rPr>
                <w:sz w:val="24"/>
              </w:rPr>
              <w:t xml:space="preserve"> </w:t>
            </w:r>
            <w:proofErr w:type="spellStart"/>
            <w:r w:rsidRPr="00C44EE6">
              <w:rPr>
                <w:sz w:val="24"/>
              </w:rPr>
              <w:t>көчөлөрдүн</w:t>
            </w:r>
            <w:proofErr w:type="spellEnd"/>
            <w:r w:rsidRPr="00C44EE6">
              <w:rPr>
                <w:sz w:val="24"/>
              </w:rPr>
              <w:t xml:space="preserve"> </w:t>
            </w:r>
            <w:proofErr w:type="spellStart"/>
            <w:r w:rsidRPr="00C44EE6">
              <w:rPr>
                <w:sz w:val="24"/>
              </w:rPr>
              <w:t>жарык</w:t>
            </w:r>
            <w:proofErr w:type="spellEnd"/>
            <w:r w:rsidRPr="00C44EE6">
              <w:rPr>
                <w:sz w:val="24"/>
                <w:lang w:val="ky-KG"/>
              </w:rPr>
              <w:t xml:space="preserve">тандырылган </w:t>
            </w:r>
            <w:proofErr w:type="spellStart"/>
            <w:r w:rsidRPr="00C44EE6">
              <w:rPr>
                <w:sz w:val="24"/>
              </w:rPr>
              <w:t>бөлүктөрүнүн</w:t>
            </w:r>
            <w:proofErr w:type="spellEnd"/>
            <w:r w:rsidRPr="00C44EE6">
              <w:rPr>
                <w:sz w:val="24"/>
              </w:rPr>
              <w:t xml:space="preserve"> </w:t>
            </w:r>
            <w:proofErr w:type="spellStart"/>
            <w:r w:rsidRPr="00C44EE6">
              <w:rPr>
                <w:sz w:val="24"/>
              </w:rPr>
              <w:t>жалпы</w:t>
            </w:r>
            <w:proofErr w:type="spellEnd"/>
            <w:r w:rsidRPr="00C44EE6">
              <w:rPr>
                <w:sz w:val="24"/>
              </w:rPr>
              <w:t xml:space="preserve"> </w:t>
            </w:r>
            <w:proofErr w:type="spellStart"/>
            <w:r w:rsidRPr="00C44EE6">
              <w:rPr>
                <w:sz w:val="24"/>
              </w:rPr>
              <w:t>узундугу</w:t>
            </w:r>
            <w:proofErr w:type="spellEnd"/>
            <w:r w:rsidRPr="00C44EE6">
              <w:rPr>
                <w:sz w:val="24"/>
              </w:rPr>
              <w:t xml:space="preserve"> </w:t>
            </w:r>
            <w:proofErr w:type="spellStart"/>
            <w:r w:rsidRPr="00C44EE6">
              <w:rPr>
                <w:sz w:val="24"/>
              </w:rPr>
              <w:t>облус</w:t>
            </w:r>
            <w:proofErr w:type="spellEnd"/>
            <w:r w:rsidRPr="00C44EE6">
              <w:rPr>
                <w:sz w:val="24"/>
              </w:rPr>
              <w:t xml:space="preserve"> </w:t>
            </w:r>
            <w:proofErr w:type="spellStart"/>
            <w:r w:rsidRPr="00C44EE6">
              <w:rPr>
                <w:sz w:val="24"/>
              </w:rPr>
              <w:t>боюнча</w:t>
            </w:r>
            <w:proofErr w:type="spellEnd"/>
            <w:r w:rsidRPr="00C44EE6">
              <w:rPr>
                <w:sz w:val="24"/>
              </w:rPr>
              <w:t xml:space="preserve"> </w:t>
            </w:r>
            <w:r w:rsidRPr="00C44EE6">
              <w:rPr>
                <w:sz w:val="24"/>
                <w:lang w:val="ky-KG"/>
              </w:rPr>
              <w:t xml:space="preserve">573,4 </w:t>
            </w:r>
            <w:proofErr w:type="spellStart"/>
            <w:r w:rsidRPr="00C44EE6">
              <w:rPr>
                <w:sz w:val="24"/>
              </w:rPr>
              <w:t>километрди</w:t>
            </w:r>
            <w:proofErr w:type="spellEnd"/>
            <w:r w:rsidRPr="00C44EE6">
              <w:rPr>
                <w:sz w:val="24"/>
              </w:rPr>
              <w:t xml:space="preserve"> </w:t>
            </w:r>
            <w:proofErr w:type="spellStart"/>
            <w:r w:rsidRPr="00C44EE6">
              <w:rPr>
                <w:sz w:val="24"/>
              </w:rPr>
              <w:t>түзөт</w:t>
            </w:r>
            <w:proofErr w:type="spellEnd"/>
            <w:r w:rsidRPr="00C44EE6">
              <w:rPr>
                <w:sz w:val="24"/>
              </w:rPr>
              <w:t xml:space="preserve">. </w:t>
            </w:r>
          </w:p>
        </w:tc>
        <w:tc>
          <w:tcPr>
            <w:tcW w:w="4820" w:type="dxa"/>
          </w:tcPr>
          <w:p w14:paraId="5B660C03" w14:textId="03905403" w:rsidR="00CC7854" w:rsidRPr="00C44EE6" w:rsidRDefault="00CC7854" w:rsidP="00CC7854">
            <w:pPr>
              <w:ind w:firstLine="708"/>
              <w:jc w:val="both"/>
              <w:rPr>
                <w:i/>
                <w:sz w:val="24"/>
                <w:lang w:val="ky-KG"/>
              </w:rPr>
            </w:pPr>
            <w:r w:rsidRPr="00C44EE6">
              <w:rPr>
                <w:i/>
                <w:sz w:val="24"/>
              </w:rPr>
              <w:t>Общая площадь всех зеленых насаждений на территории области составляет 894,8 гектара. Общее протяжение</w:t>
            </w:r>
            <w:r w:rsidRPr="00C44EE6">
              <w:rPr>
                <w:i/>
                <w:sz w:val="24"/>
                <w:lang w:val="ky-KG"/>
              </w:rPr>
              <w:t xml:space="preserve"> </w:t>
            </w:r>
            <w:proofErr w:type="gramStart"/>
            <w:r w:rsidRPr="00C44EE6">
              <w:rPr>
                <w:i/>
                <w:sz w:val="24"/>
                <w:lang w:val="ky-KG"/>
              </w:rPr>
              <w:t xml:space="preserve">всех </w:t>
            </w:r>
            <w:r w:rsidRPr="00C44EE6">
              <w:rPr>
                <w:i/>
                <w:sz w:val="24"/>
              </w:rPr>
              <w:t xml:space="preserve"> улиц</w:t>
            </w:r>
            <w:proofErr w:type="gramEnd"/>
            <w:r w:rsidRPr="00C44EE6">
              <w:rPr>
                <w:i/>
                <w:sz w:val="24"/>
              </w:rPr>
              <w:t xml:space="preserve">, проездов и улиц-набережных по области составляет </w:t>
            </w:r>
            <w:r w:rsidRPr="00C44EE6">
              <w:rPr>
                <w:i/>
                <w:sz w:val="24"/>
                <w:lang w:val="ky-KG"/>
              </w:rPr>
              <w:t>2514,8</w:t>
            </w:r>
            <w:r w:rsidRPr="00C44EE6">
              <w:rPr>
                <w:i/>
                <w:sz w:val="24"/>
              </w:rPr>
              <w:t xml:space="preserve"> километров.</w:t>
            </w:r>
            <w:r w:rsidRPr="00C44EE6">
              <w:rPr>
                <w:i/>
                <w:sz w:val="24"/>
                <w:lang w:val="ky-KG"/>
              </w:rPr>
              <w:t xml:space="preserve"> Протяжение  освещаемых  частей улиц 573,4 километров.</w:t>
            </w:r>
          </w:p>
        </w:tc>
      </w:tr>
    </w:tbl>
    <w:p w14:paraId="3FBE2718" w14:textId="77777777" w:rsidR="002F1AA7" w:rsidRPr="00F82B0F" w:rsidRDefault="002F1AA7" w:rsidP="002F1AA7">
      <w:pPr>
        <w:ind w:firstLine="708"/>
        <w:rPr>
          <w:color w:val="FF0000"/>
          <w:sz w:val="24"/>
          <w:highlight w:val="yellow"/>
          <w:lang w:val="ky-KG"/>
        </w:rPr>
      </w:pPr>
    </w:p>
    <w:p w14:paraId="7CEE9C81" w14:textId="77777777" w:rsidR="00EE160D" w:rsidRPr="00F82B0F" w:rsidRDefault="00EE160D" w:rsidP="001749FB">
      <w:pPr>
        <w:ind w:firstLine="708"/>
        <w:rPr>
          <w:color w:val="FF0000"/>
          <w:sz w:val="24"/>
          <w:highlight w:val="yellow"/>
          <w:lang w:val="ky-KG"/>
        </w:rPr>
      </w:pPr>
    </w:p>
    <w:p w14:paraId="68F70A6E" w14:textId="77777777" w:rsidR="00E567C4" w:rsidRPr="00F82B0F" w:rsidRDefault="00E567C4" w:rsidP="00E567C4">
      <w:pPr>
        <w:ind w:firstLine="708"/>
        <w:rPr>
          <w:color w:val="FF0000"/>
          <w:sz w:val="24"/>
          <w:lang w:val="ky-KG"/>
        </w:rPr>
      </w:pPr>
    </w:p>
    <w:p w14:paraId="68580AAE" w14:textId="77777777" w:rsidR="002C384D" w:rsidRPr="00F82B0F" w:rsidRDefault="002C384D" w:rsidP="001749FB">
      <w:pPr>
        <w:ind w:firstLine="708"/>
        <w:rPr>
          <w:color w:val="FF0000"/>
          <w:sz w:val="24"/>
          <w:lang w:val="ky-KG"/>
        </w:rPr>
      </w:pPr>
    </w:p>
    <w:p w14:paraId="149EA48F" w14:textId="77777777" w:rsidR="00245224" w:rsidRPr="00F82B0F" w:rsidRDefault="00245224" w:rsidP="00245224">
      <w:pPr>
        <w:ind w:firstLine="708"/>
        <w:jc w:val="both"/>
        <w:rPr>
          <w:color w:val="FF0000"/>
          <w:sz w:val="24"/>
        </w:rPr>
      </w:pPr>
    </w:p>
    <w:p w14:paraId="251BB248" w14:textId="77777777" w:rsidR="0023395D" w:rsidRDefault="0023395D">
      <w:pPr>
        <w:ind w:firstLine="708"/>
        <w:jc w:val="both"/>
        <w:rPr>
          <w:sz w:val="24"/>
        </w:rPr>
      </w:pPr>
      <w:r w:rsidRPr="00F82B0F">
        <w:rPr>
          <w:color w:val="FF0000"/>
          <w:sz w:val="24"/>
        </w:rPr>
        <w:br w:type="page"/>
      </w:r>
    </w:p>
    <w:p w14:paraId="32932DB4" w14:textId="77777777" w:rsidR="0023395D" w:rsidRDefault="0023395D">
      <w:pPr>
        <w:ind w:firstLine="708"/>
        <w:jc w:val="both"/>
        <w:rPr>
          <w:sz w:val="24"/>
        </w:rPr>
      </w:pPr>
    </w:p>
    <w:p w14:paraId="534D190C" w14:textId="77777777" w:rsidR="0023395D" w:rsidRDefault="0023395D">
      <w:pPr>
        <w:ind w:firstLine="708"/>
        <w:jc w:val="both"/>
        <w:rPr>
          <w:sz w:val="24"/>
        </w:rPr>
      </w:pPr>
    </w:p>
    <w:p w14:paraId="4FC6C636" w14:textId="77777777" w:rsidR="0023395D" w:rsidRDefault="0023395D">
      <w:pPr>
        <w:ind w:firstLine="708"/>
        <w:jc w:val="both"/>
        <w:rPr>
          <w:sz w:val="24"/>
        </w:rPr>
      </w:pPr>
    </w:p>
    <w:p w14:paraId="17AEF231" w14:textId="77777777" w:rsidR="0023395D" w:rsidRDefault="0023395D">
      <w:pPr>
        <w:ind w:firstLine="708"/>
        <w:jc w:val="both"/>
        <w:rPr>
          <w:sz w:val="24"/>
        </w:rPr>
      </w:pPr>
    </w:p>
    <w:p w14:paraId="2D8DFCD9" w14:textId="77777777" w:rsidR="0023395D" w:rsidRDefault="0023395D">
      <w:pPr>
        <w:ind w:firstLine="708"/>
        <w:jc w:val="both"/>
        <w:rPr>
          <w:sz w:val="24"/>
        </w:rPr>
      </w:pPr>
    </w:p>
    <w:p w14:paraId="3B29C967" w14:textId="77777777" w:rsidR="0023395D" w:rsidRDefault="0023395D">
      <w:pPr>
        <w:ind w:firstLine="708"/>
        <w:jc w:val="both"/>
        <w:rPr>
          <w:sz w:val="24"/>
        </w:rPr>
      </w:pPr>
    </w:p>
    <w:p w14:paraId="4D205394" w14:textId="77777777" w:rsidR="0023395D" w:rsidRDefault="0023395D">
      <w:pPr>
        <w:ind w:firstLine="708"/>
        <w:jc w:val="both"/>
        <w:rPr>
          <w:sz w:val="24"/>
        </w:rPr>
      </w:pPr>
    </w:p>
    <w:p w14:paraId="6C332277" w14:textId="77777777" w:rsidR="0023395D" w:rsidRDefault="0023395D">
      <w:pPr>
        <w:ind w:firstLine="708"/>
        <w:jc w:val="both"/>
        <w:rPr>
          <w:sz w:val="24"/>
        </w:rPr>
      </w:pPr>
    </w:p>
    <w:p w14:paraId="00BE16EF" w14:textId="77777777" w:rsidR="0023395D" w:rsidRDefault="0023395D">
      <w:pPr>
        <w:ind w:firstLine="708"/>
        <w:jc w:val="both"/>
        <w:rPr>
          <w:sz w:val="24"/>
        </w:rPr>
      </w:pPr>
    </w:p>
    <w:p w14:paraId="1782914A" w14:textId="77777777" w:rsidR="0023395D" w:rsidRDefault="0023395D">
      <w:pPr>
        <w:ind w:firstLine="708"/>
        <w:jc w:val="both"/>
        <w:rPr>
          <w:sz w:val="24"/>
        </w:rPr>
      </w:pPr>
    </w:p>
    <w:p w14:paraId="070C7BC9" w14:textId="77777777" w:rsidR="0023395D" w:rsidRDefault="0023395D">
      <w:pPr>
        <w:ind w:firstLine="708"/>
        <w:jc w:val="both"/>
        <w:rPr>
          <w:sz w:val="24"/>
        </w:rPr>
      </w:pPr>
    </w:p>
    <w:p w14:paraId="04F579F8" w14:textId="77777777" w:rsidR="0023395D" w:rsidRDefault="0023395D">
      <w:pPr>
        <w:ind w:firstLine="708"/>
        <w:jc w:val="both"/>
        <w:rPr>
          <w:sz w:val="24"/>
        </w:rPr>
      </w:pPr>
    </w:p>
    <w:p w14:paraId="5854D3CE" w14:textId="77777777" w:rsidR="0023395D" w:rsidRDefault="0023395D">
      <w:pPr>
        <w:ind w:firstLine="708"/>
        <w:jc w:val="both"/>
        <w:rPr>
          <w:sz w:val="24"/>
        </w:rPr>
      </w:pPr>
    </w:p>
    <w:p w14:paraId="494E6A94" w14:textId="77777777" w:rsidR="0023395D" w:rsidRDefault="0023395D">
      <w:pPr>
        <w:ind w:firstLine="708"/>
        <w:jc w:val="both"/>
        <w:rPr>
          <w:sz w:val="24"/>
        </w:rPr>
      </w:pPr>
    </w:p>
    <w:p w14:paraId="605B7EBD" w14:textId="77777777" w:rsidR="0023395D" w:rsidRDefault="0023395D">
      <w:pPr>
        <w:ind w:firstLine="708"/>
        <w:jc w:val="both"/>
        <w:rPr>
          <w:sz w:val="24"/>
        </w:rPr>
      </w:pPr>
    </w:p>
    <w:p w14:paraId="311A03BC" w14:textId="77777777" w:rsidR="0023395D" w:rsidRDefault="0023395D">
      <w:pPr>
        <w:ind w:firstLine="708"/>
        <w:jc w:val="both"/>
        <w:rPr>
          <w:sz w:val="24"/>
        </w:rPr>
      </w:pPr>
    </w:p>
    <w:p w14:paraId="4E0E0C6D" w14:textId="77777777" w:rsidR="0023395D" w:rsidRDefault="0023395D">
      <w:pPr>
        <w:ind w:firstLine="708"/>
        <w:jc w:val="both"/>
        <w:rPr>
          <w:sz w:val="24"/>
        </w:rPr>
      </w:pPr>
    </w:p>
    <w:p w14:paraId="0BFF963B" w14:textId="77777777" w:rsidR="0023395D" w:rsidRDefault="0023395D">
      <w:pPr>
        <w:ind w:firstLine="708"/>
        <w:jc w:val="both"/>
        <w:rPr>
          <w:sz w:val="24"/>
        </w:rPr>
      </w:pPr>
    </w:p>
    <w:p w14:paraId="673306BC" w14:textId="77777777" w:rsidR="0023395D" w:rsidRDefault="0023395D">
      <w:pPr>
        <w:ind w:firstLine="708"/>
        <w:jc w:val="both"/>
        <w:rPr>
          <w:sz w:val="24"/>
        </w:rPr>
      </w:pPr>
    </w:p>
    <w:tbl>
      <w:tblPr>
        <w:tblW w:w="0" w:type="auto"/>
        <w:tblLook w:val="04A0" w:firstRow="1" w:lastRow="0" w:firstColumn="1" w:lastColumn="0" w:noHBand="0" w:noVBand="1"/>
      </w:tblPr>
      <w:tblGrid>
        <w:gridCol w:w="4818"/>
        <w:gridCol w:w="4820"/>
      </w:tblGrid>
      <w:tr w:rsidR="00484D7B" w:rsidRPr="001575CC" w14:paraId="1D885A46" w14:textId="77777777" w:rsidTr="00AC2CE7">
        <w:tc>
          <w:tcPr>
            <w:tcW w:w="4927" w:type="dxa"/>
          </w:tcPr>
          <w:p w14:paraId="2B964812" w14:textId="77777777" w:rsidR="00484D7B" w:rsidRDefault="00EE160D" w:rsidP="00EE160D">
            <w:pPr>
              <w:ind w:firstLine="708"/>
              <w:jc w:val="both"/>
              <w:rPr>
                <w:sz w:val="24"/>
              </w:rPr>
            </w:pPr>
            <w:proofErr w:type="spellStart"/>
            <w:r>
              <w:rPr>
                <w:b/>
                <w:sz w:val="52"/>
                <w:szCs w:val="52"/>
              </w:rPr>
              <w:t>Тиркемелер</w:t>
            </w:r>
            <w:proofErr w:type="spellEnd"/>
          </w:p>
        </w:tc>
        <w:tc>
          <w:tcPr>
            <w:tcW w:w="4927" w:type="dxa"/>
          </w:tcPr>
          <w:p w14:paraId="3F5791FD" w14:textId="77777777" w:rsidR="00484D7B" w:rsidRPr="00A06CC7" w:rsidRDefault="00EE160D" w:rsidP="00AC2CE7">
            <w:pPr>
              <w:ind w:firstLine="708"/>
              <w:jc w:val="both"/>
              <w:rPr>
                <w:i/>
                <w:sz w:val="24"/>
              </w:rPr>
            </w:pPr>
            <w:r w:rsidRPr="006F0A12">
              <w:rPr>
                <w:b/>
                <w:sz w:val="52"/>
                <w:szCs w:val="52"/>
              </w:rPr>
              <w:t>Приложения</w:t>
            </w:r>
          </w:p>
        </w:tc>
      </w:tr>
    </w:tbl>
    <w:p w14:paraId="12FBEE39" w14:textId="77777777" w:rsidR="0023395D" w:rsidRDefault="0023395D">
      <w:pPr>
        <w:ind w:firstLine="708"/>
        <w:jc w:val="both"/>
        <w:rPr>
          <w:sz w:val="24"/>
        </w:rPr>
      </w:pPr>
    </w:p>
    <w:p w14:paraId="65EEBC6C" w14:textId="77777777" w:rsidR="0023395D" w:rsidRDefault="0023395D">
      <w:pPr>
        <w:ind w:firstLine="708"/>
        <w:jc w:val="both"/>
        <w:rPr>
          <w:sz w:val="24"/>
        </w:rPr>
      </w:pPr>
    </w:p>
    <w:p w14:paraId="12BF7286" w14:textId="77777777" w:rsidR="0023395D" w:rsidRDefault="0023395D">
      <w:pPr>
        <w:ind w:firstLine="708"/>
        <w:jc w:val="both"/>
        <w:rPr>
          <w:sz w:val="24"/>
        </w:rPr>
      </w:pPr>
    </w:p>
    <w:p w14:paraId="559938C0" w14:textId="77777777" w:rsidR="0023395D" w:rsidRDefault="0023395D">
      <w:pPr>
        <w:ind w:firstLine="708"/>
        <w:jc w:val="both"/>
        <w:rPr>
          <w:sz w:val="24"/>
        </w:rPr>
      </w:pPr>
    </w:p>
    <w:sectPr w:rsidR="0023395D" w:rsidSect="008147E0">
      <w:footerReference w:type="default" r:id="rId26"/>
      <w:pgSz w:w="11906" w:h="16838"/>
      <w:pgMar w:top="1134" w:right="1134" w:bottom="1134" w:left="1134" w:header="720" w:footer="720" w:gutter="0"/>
      <w:cols w:space="720"/>
      <w:titlePg/>
      <w:docGrid w:linePitch="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9BFA7F" w14:textId="77777777" w:rsidR="004449F5" w:rsidRDefault="004449F5">
      <w:r>
        <w:separator/>
      </w:r>
    </w:p>
  </w:endnote>
  <w:endnote w:type="continuationSeparator" w:id="0">
    <w:p w14:paraId="07756124" w14:textId="77777777" w:rsidR="004449F5" w:rsidRDefault="00444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Kyrghyz Times">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UniToktom">
    <w:altName w:val="Times New Roman"/>
    <w:charset w:val="CC"/>
    <w:family w:val="roman"/>
    <w:pitch w:val="variable"/>
    <w:sig w:usb0="A0002AAF" w:usb1="4000387A" w:usb2="0000002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A06F5" w14:textId="77777777" w:rsidR="00DC50E5" w:rsidRDefault="00000000">
    <w:pPr>
      <w:pStyle w:val="a4"/>
      <w:jc w:val="center"/>
    </w:pPr>
    <w:r>
      <w:fldChar w:fldCharType="begin"/>
    </w:r>
    <w:r>
      <w:instrText>PAGE   \* MERGEFORMAT</w:instrText>
    </w:r>
    <w:r>
      <w:fldChar w:fldCharType="separate"/>
    </w:r>
    <w:r w:rsidR="00A0196E">
      <w:rPr>
        <w:noProof/>
      </w:rPr>
      <w:t>33</w:t>
    </w:r>
    <w:r>
      <w:rPr>
        <w:noProof/>
      </w:rPr>
      <w:fldChar w:fldCharType="end"/>
    </w:r>
  </w:p>
  <w:p w14:paraId="5AE9D120" w14:textId="77777777" w:rsidR="00DC50E5" w:rsidRPr="00B70A53" w:rsidRDefault="00DC50E5" w:rsidP="00B70A5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DCD53" w14:textId="77777777" w:rsidR="004449F5" w:rsidRDefault="004449F5">
      <w:r>
        <w:separator/>
      </w:r>
    </w:p>
  </w:footnote>
  <w:footnote w:type="continuationSeparator" w:id="0">
    <w:p w14:paraId="40E86102" w14:textId="77777777" w:rsidR="004449F5" w:rsidRDefault="004449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F07221"/>
    <w:multiLevelType w:val="hybridMultilevel"/>
    <w:tmpl w:val="D6D2DD16"/>
    <w:lvl w:ilvl="0" w:tplc="7E68E3A4">
      <w:start w:val="1"/>
      <w:numFmt w:val="decimal"/>
      <w:lvlText w:val="%1."/>
      <w:lvlJc w:val="left"/>
      <w:pPr>
        <w:tabs>
          <w:tab w:val="num" w:pos="720"/>
        </w:tabs>
        <w:ind w:left="720" w:hanging="360"/>
      </w:pPr>
    </w:lvl>
    <w:lvl w:ilvl="1" w:tplc="857667CC" w:tentative="1">
      <w:start w:val="1"/>
      <w:numFmt w:val="lowerLetter"/>
      <w:lvlText w:val="%2."/>
      <w:lvlJc w:val="left"/>
      <w:pPr>
        <w:tabs>
          <w:tab w:val="num" w:pos="1440"/>
        </w:tabs>
        <w:ind w:left="1440" w:hanging="360"/>
      </w:pPr>
    </w:lvl>
    <w:lvl w:ilvl="2" w:tplc="8604D216" w:tentative="1">
      <w:start w:val="1"/>
      <w:numFmt w:val="lowerRoman"/>
      <w:lvlText w:val="%3."/>
      <w:lvlJc w:val="right"/>
      <w:pPr>
        <w:tabs>
          <w:tab w:val="num" w:pos="2160"/>
        </w:tabs>
        <w:ind w:left="2160" w:hanging="180"/>
      </w:pPr>
    </w:lvl>
    <w:lvl w:ilvl="3" w:tplc="2CE6DCBA" w:tentative="1">
      <w:start w:val="1"/>
      <w:numFmt w:val="decimal"/>
      <w:lvlText w:val="%4."/>
      <w:lvlJc w:val="left"/>
      <w:pPr>
        <w:tabs>
          <w:tab w:val="num" w:pos="2880"/>
        </w:tabs>
        <w:ind w:left="2880" w:hanging="360"/>
      </w:pPr>
    </w:lvl>
    <w:lvl w:ilvl="4" w:tplc="8A4C0534" w:tentative="1">
      <w:start w:val="1"/>
      <w:numFmt w:val="lowerLetter"/>
      <w:lvlText w:val="%5."/>
      <w:lvlJc w:val="left"/>
      <w:pPr>
        <w:tabs>
          <w:tab w:val="num" w:pos="3600"/>
        </w:tabs>
        <w:ind w:left="3600" w:hanging="360"/>
      </w:pPr>
    </w:lvl>
    <w:lvl w:ilvl="5" w:tplc="02360EA4" w:tentative="1">
      <w:start w:val="1"/>
      <w:numFmt w:val="lowerRoman"/>
      <w:lvlText w:val="%6."/>
      <w:lvlJc w:val="right"/>
      <w:pPr>
        <w:tabs>
          <w:tab w:val="num" w:pos="4320"/>
        </w:tabs>
        <w:ind w:left="4320" w:hanging="180"/>
      </w:pPr>
    </w:lvl>
    <w:lvl w:ilvl="6" w:tplc="F202F790" w:tentative="1">
      <w:start w:val="1"/>
      <w:numFmt w:val="decimal"/>
      <w:lvlText w:val="%7."/>
      <w:lvlJc w:val="left"/>
      <w:pPr>
        <w:tabs>
          <w:tab w:val="num" w:pos="5040"/>
        </w:tabs>
        <w:ind w:left="5040" w:hanging="360"/>
      </w:pPr>
    </w:lvl>
    <w:lvl w:ilvl="7" w:tplc="D870DAA4" w:tentative="1">
      <w:start w:val="1"/>
      <w:numFmt w:val="lowerLetter"/>
      <w:lvlText w:val="%8."/>
      <w:lvlJc w:val="left"/>
      <w:pPr>
        <w:tabs>
          <w:tab w:val="num" w:pos="5760"/>
        </w:tabs>
        <w:ind w:left="5760" w:hanging="360"/>
      </w:pPr>
    </w:lvl>
    <w:lvl w:ilvl="8" w:tplc="58DC782C" w:tentative="1">
      <w:start w:val="1"/>
      <w:numFmt w:val="lowerRoman"/>
      <w:lvlText w:val="%9."/>
      <w:lvlJc w:val="right"/>
      <w:pPr>
        <w:tabs>
          <w:tab w:val="num" w:pos="6480"/>
        </w:tabs>
        <w:ind w:left="6480" w:hanging="180"/>
      </w:pPr>
    </w:lvl>
  </w:abstractNum>
  <w:abstractNum w:abstractNumId="1" w15:restartNumberingAfterBreak="0">
    <w:nsid w:val="31A41A41"/>
    <w:multiLevelType w:val="hybridMultilevel"/>
    <w:tmpl w:val="A5A4F456"/>
    <w:lvl w:ilvl="0" w:tplc="8D06991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401D52E0"/>
    <w:multiLevelType w:val="hybridMultilevel"/>
    <w:tmpl w:val="09A090B0"/>
    <w:lvl w:ilvl="0" w:tplc="A55C516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4B887139"/>
    <w:multiLevelType w:val="singleLevel"/>
    <w:tmpl w:val="0419000F"/>
    <w:lvl w:ilvl="0">
      <w:start w:val="1"/>
      <w:numFmt w:val="decimal"/>
      <w:lvlText w:val="%1."/>
      <w:lvlJc w:val="left"/>
      <w:pPr>
        <w:tabs>
          <w:tab w:val="num" w:pos="360"/>
        </w:tabs>
        <w:ind w:left="360" w:hanging="360"/>
      </w:pPr>
      <w:rPr>
        <w:rFonts w:hint="default"/>
      </w:rPr>
    </w:lvl>
  </w:abstractNum>
  <w:abstractNum w:abstractNumId="4" w15:restartNumberingAfterBreak="0">
    <w:nsid w:val="5AF411F5"/>
    <w:multiLevelType w:val="hybridMultilevel"/>
    <w:tmpl w:val="3D1844D0"/>
    <w:lvl w:ilvl="0" w:tplc="85A22B20">
      <w:start w:val="1"/>
      <w:numFmt w:val="decimal"/>
      <w:lvlText w:val="%1."/>
      <w:lvlJc w:val="left"/>
      <w:pPr>
        <w:tabs>
          <w:tab w:val="num" w:pos="360"/>
        </w:tabs>
        <w:ind w:left="340" w:hanging="340"/>
      </w:pPr>
      <w:rPr>
        <w:rFonts w:hint="default"/>
      </w:rPr>
    </w:lvl>
    <w:lvl w:ilvl="1" w:tplc="CEF40486" w:tentative="1">
      <w:start w:val="1"/>
      <w:numFmt w:val="lowerLetter"/>
      <w:lvlText w:val="%2."/>
      <w:lvlJc w:val="left"/>
      <w:pPr>
        <w:tabs>
          <w:tab w:val="num" w:pos="1440"/>
        </w:tabs>
        <w:ind w:left="1440" w:hanging="360"/>
      </w:pPr>
    </w:lvl>
    <w:lvl w:ilvl="2" w:tplc="CD4672BA" w:tentative="1">
      <w:start w:val="1"/>
      <w:numFmt w:val="lowerRoman"/>
      <w:lvlText w:val="%3."/>
      <w:lvlJc w:val="right"/>
      <w:pPr>
        <w:tabs>
          <w:tab w:val="num" w:pos="2160"/>
        </w:tabs>
        <w:ind w:left="2160" w:hanging="180"/>
      </w:pPr>
    </w:lvl>
    <w:lvl w:ilvl="3" w:tplc="B46878A4" w:tentative="1">
      <w:start w:val="1"/>
      <w:numFmt w:val="decimal"/>
      <w:lvlText w:val="%4."/>
      <w:lvlJc w:val="left"/>
      <w:pPr>
        <w:tabs>
          <w:tab w:val="num" w:pos="2880"/>
        </w:tabs>
        <w:ind w:left="2880" w:hanging="360"/>
      </w:pPr>
    </w:lvl>
    <w:lvl w:ilvl="4" w:tplc="C2282B26" w:tentative="1">
      <w:start w:val="1"/>
      <w:numFmt w:val="lowerLetter"/>
      <w:lvlText w:val="%5."/>
      <w:lvlJc w:val="left"/>
      <w:pPr>
        <w:tabs>
          <w:tab w:val="num" w:pos="3600"/>
        </w:tabs>
        <w:ind w:left="3600" w:hanging="360"/>
      </w:pPr>
    </w:lvl>
    <w:lvl w:ilvl="5" w:tplc="D348FC20" w:tentative="1">
      <w:start w:val="1"/>
      <w:numFmt w:val="lowerRoman"/>
      <w:lvlText w:val="%6."/>
      <w:lvlJc w:val="right"/>
      <w:pPr>
        <w:tabs>
          <w:tab w:val="num" w:pos="4320"/>
        </w:tabs>
        <w:ind w:left="4320" w:hanging="180"/>
      </w:pPr>
    </w:lvl>
    <w:lvl w:ilvl="6" w:tplc="0A4664CC" w:tentative="1">
      <w:start w:val="1"/>
      <w:numFmt w:val="decimal"/>
      <w:lvlText w:val="%7."/>
      <w:lvlJc w:val="left"/>
      <w:pPr>
        <w:tabs>
          <w:tab w:val="num" w:pos="5040"/>
        </w:tabs>
        <w:ind w:left="5040" w:hanging="360"/>
      </w:pPr>
    </w:lvl>
    <w:lvl w:ilvl="7" w:tplc="3EEA05AC" w:tentative="1">
      <w:start w:val="1"/>
      <w:numFmt w:val="lowerLetter"/>
      <w:lvlText w:val="%8."/>
      <w:lvlJc w:val="left"/>
      <w:pPr>
        <w:tabs>
          <w:tab w:val="num" w:pos="5760"/>
        </w:tabs>
        <w:ind w:left="5760" w:hanging="360"/>
      </w:pPr>
    </w:lvl>
    <w:lvl w:ilvl="8" w:tplc="FB2A2D84" w:tentative="1">
      <w:start w:val="1"/>
      <w:numFmt w:val="lowerRoman"/>
      <w:lvlText w:val="%9."/>
      <w:lvlJc w:val="right"/>
      <w:pPr>
        <w:tabs>
          <w:tab w:val="num" w:pos="6480"/>
        </w:tabs>
        <w:ind w:left="6480" w:hanging="180"/>
      </w:pPr>
    </w:lvl>
  </w:abstractNum>
  <w:abstractNum w:abstractNumId="5" w15:restartNumberingAfterBreak="0">
    <w:nsid w:val="65F12AED"/>
    <w:multiLevelType w:val="hybridMultilevel"/>
    <w:tmpl w:val="CF86C62C"/>
    <w:lvl w:ilvl="0" w:tplc="B7E2E0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6C1C3593"/>
    <w:multiLevelType w:val="hybridMultilevel"/>
    <w:tmpl w:val="F51855F6"/>
    <w:lvl w:ilvl="0" w:tplc="F8D24FCA">
      <w:start w:val="1"/>
      <w:numFmt w:val="upperRoman"/>
      <w:lvlText w:val="%1."/>
      <w:lvlJc w:val="right"/>
      <w:pPr>
        <w:tabs>
          <w:tab w:val="num" w:pos="1097"/>
        </w:tabs>
        <w:ind w:left="720" w:firstLine="17"/>
      </w:pPr>
      <w:rPr>
        <w:rFonts w:hint="default"/>
      </w:rPr>
    </w:lvl>
    <w:lvl w:ilvl="1" w:tplc="66E6F64A" w:tentative="1">
      <w:start w:val="1"/>
      <w:numFmt w:val="lowerLetter"/>
      <w:lvlText w:val="%2."/>
      <w:lvlJc w:val="left"/>
      <w:pPr>
        <w:tabs>
          <w:tab w:val="num" w:pos="1440"/>
        </w:tabs>
        <w:ind w:left="1440" w:hanging="360"/>
      </w:pPr>
    </w:lvl>
    <w:lvl w:ilvl="2" w:tplc="3B56A6B2" w:tentative="1">
      <w:start w:val="1"/>
      <w:numFmt w:val="lowerRoman"/>
      <w:lvlText w:val="%3."/>
      <w:lvlJc w:val="right"/>
      <w:pPr>
        <w:tabs>
          <w:tab w:val="num" w:pos="2160"/>
        </w:tabs>
        <w:ind w:left="2160" w:hanging="180"/>
      </w:pPr>
    </w:lvl>
    <w:lvl w:ilvl="3" w:tplc="A12458DA" w:tentative="1">
      <w:start w:val="1"/>
      <w:numFmt w:val="decimal"/>
      <w:lvlText w:val="%4."/>
      <w:lvlJc w:val="left"/>
      <w:pPr>
        <w:tabs>
          <w:tab w:val="num" w:pos="2880"/>
        </w:tabs>
        <w:ind w:left="2880" w:hanging="360"/>
      </w:pPr>
    </w:lvl>
    <w:lvl w:ilvl="4" w:tplc="3E48B098" w:tentative="1">
      <w:start w:val="1"/>
      <w:numFmt w:val="lowerLetter"/>
      <w:lvlText w:val="%5."/>
      <w:lvlJc w:val="left"/>
      <w:pPr>
        <w:tabs>
          <w:tab w:val="num" w:pos="3600"/>
        </w:tabs>
        <w:ind w:left="3600" w:hanging="360"/>
      </w:pPr>
    </w:lvl>
    <w:lvl w:ilvl="5" w:tplc="3F68C98C" w:tentative="1">
      <w:start w:val="1"/>
      <w:numFmt w:val="lowerRoman"/>
      <w:lvlText w:val="%6."/>
      <w:lvlJc w:val="right"/>
      <w:pPr>
        <w:tabs>
          <w:tab w:val="num" w:pos="4320"/>
        </w:tabs>
        <w:ind w:left="4320" w:hanging="180"/>
      </w:pPr>
    </w:lvl>
    <w:lvl w:ilvl="6" w:tplc="9DECE5E0" w:tentative="1">
      <w:start w:val="1"/>
      <w:numFmt w:val="decimal"/>
      <w:lvlText w:val="%7."/>
      <w:lvlJc w:val="left"/>
      <w:pPr>
        <w:tabs>
          <w:tab w:val="num" w:pos="5040"/>
        </w:tabs>
        <w:ind w:left="5040" w:hanging="360"/>
      </w:pPr>
    </w:lvl>
    <w:lvl w:ilvl="7" w:tplc="5A4A6530" w:tentative="1">
      <w:start w:val="1"/>
      <w:numFmt w:val="lowerLetter"/>
      <w:lvlText w:val="%8."/>
      <w:lvlJc w:val="left"/>
      <w:pPr>
        <w:tabs>
          <w:tab w:val="num" w:pos="5760"/>
        </w:tabs>
        <w:ind w:left="5760" w:hanging="360"/>
      </w:pPr>
    </w:lvl>
    <w:lvl w:ilvl="8" w:tplc="50566D62" w:tentative="1">
      <w:start w:val="1"/>
      <w:numFmt w:val="lowerRoman"/>
      <w:lvlText w:val="%9."/>
      <w:lvlJc w:val="right"/>
      <w:pPr>
        <w:tabs>
          <w:tab w:val="num" w:pos="6480"/>
        </w:tabs>
        <w:ind w:left="6480" w:hanging="180"/>
      </w:pPr>
    </w:lvl>
  </w:abstractNum>
  <w:num w:numId="1" w16cid:durableId="1529567392">
    <w:abstractNumId w:val="4"/>
  </w:num>
  <w:num w:numId="2" w16cid:durableId="1535145277">
    <w:abstractNumId w:val="6"/>
  </w:num>
  <w:num w:numId="3" w16cid:durableId="1991403149">
    <w:abstractNumId w:val="3"/>
  </w:num>
  <w:num w:numId="4" w16cid:durableId="1164315192">
    <w:abstractNumId w:val="0"/>
  </w:num>
  <w:num w:numId="5" w16cid:durableId="1408923498">
    <w:abstractNumId w:val="1"/>
  </w:num>
  <w:num w:numId="6" w16cid:durableId="396972281">
    <w:abstractNumId w:val="5"/>
  </w:num>
  <w:num w:numId="7" w16cid:durableId="4488228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rawingGridHorizontalSpacing w:val="59"/>
  <w:drawingGridVerticalSpacing w:val="40"/>
  <w:displayHorizontalDrawingGridEvery w:val="0"/>
  <w:displayVerticalDrawingGridEvery w:val="2"/>
  <w:noPunctuationKerning/>
  <w:characterSpacingControl w:val="doNotCompress"/>
  <w:savePreviewPicture/>
  <w:hdrShapeDefaults>
    <o:shapedefaults v:ext="edit" spidmax="205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8FB"/>
    <w:rsid w:val="00000CAC"/>
    <w:rsid w:val="00000D90"/>
    <w:rsid w:val="000016BB"/>
    <w:rsid w:val="000034ED"/>
    <w:rsid w:val="00005061"/>
    <w:rsid w:val="000069C7"/>
    <w:rsid w:val="00006CE2"/>
    <w:rsid w:val="00010A62"/>
    <w:rsid w:val="00011261"/>
    <w:rsid w:val="00011C77"/>
    <w:rsid w:val="000139AA"/>
    <w:rsid w:val="00015166"/>
    <w:rsid w:val="0001584C"/>
    <w:rsid w:val="0001681F"/>
    <w:rsid w:val="00017CCA"/>
    <w:rsid w:val="00021AF4"/>
    <w:rsid w:val="00021EA2"/>
    <w:rsid w:val="00022056"/>
    <w:rsid w:val="000225B4"/>
    <w:rsid w:val="00022D38"/>
    <w:rsid w:val="000231BD"/>
    <w:rsid w:val="0002368A"/>
    <w:rsid w:val="000249E0"/>
    <w:rsid w:val="00024B40"/>
    <w:rsid w:val="00024BEA"/>
    <w:rsid w:val="0002722A"/>
    <w:rsid w:val="0002741F"/>
    <w:rsid w:val="00027CFD"/>
    <w:rsid w:val="00030E05"/>
    <w:rsid w:val="00030E1C"/>
    <w:rsid w:val="000317F5"/>
    <w:rsid w:val="00032318"/>
    <w:rsid w:val="00032EDD"/>
    <w:rsid w:val="000337E1"/>
    <w:rsid w:val="00035202"/>
    <w:rsid w:val="00035863"/>
    <w:rsid w:val="00035BA3"/>
    <w:rsid w:val="00036DDC"/>
    <w:rsid w:val="00037551"/>
    <w:rsid w:val="0004017A"/>
    <w:rsid w:val="0004059A"/>
    <w:rsid w:val="000405F5"/>
    <w:rsid w:val="000418DA"/>
    <w:rsid w:val="00042609"/>
    <w:rsid w:val="00044040"/>
    <w:rsid w:val="000448C9"/>
    <w:rsid w:val="000452BC"/>
    <w:rsid w:val="0004553C"/>
    <w:rsid w:val="00045EBF"/>
    <w:rsid w:val="0004626A"/>
    <w:rsid w:val="00047536"/>
    <w:rsid w:val="00047C89"/>
    <w:rsid w:val="000521B4"/>
    <w:rsid w:val="000523B4"/>
    <w:rsid w:val="0005395F"/>
    <w:rsid w:val="00053E5D"/>
    <w:rsid w:val="00053F39"/>
    <w:rsid w:val="00054DA8"/>
    <w:rsid w:val="000552FB"/>
    <w:rsid w:val="00055523"/>
    <w:rsid w:val="00055C6B"/>
    <w:rsid w:val="000569DF"/>
    <w:rsid w:val="00056FFD"/>
    <w:rsid w:val="00057188"/>
    <w:rsid w:val="00057D72"/>
    <w:rsid w:val="0006016A"/>
    <w:rsid w:val="0006402D"/>
    <w:rsid w:val="00064E67"/>
    <w:rsid w:val="00065108"/>
    <w:rsid w:val="0007038E"/>
    <w:rsid w:val="00070930"/>
    <w:rsid w:val="000709B0"/>
    <w:rsid w:val="0007151C"/>
    <w:rsid w:val="00072A5F"/>
    <w:rsid w:val="00072C20"/>
    <w:rsid w:val="00073477"/>
    <w:rsid w:val="0007467C"/>
    <w:rsid w:val="000750BE"/>
    <w:rsid w:val="00075545"/>
    <w:rsid w:val="000766F5"/>
    <w:rsid w:val="000801C4"/>
    <w:rsid w:val="0008063A"/>
    <w:rsid w:val="000806FB"/>
    <w:rsid w:val="00084070"/>
    <w:rsid w:val="00086F2E"/>
    <w:rsid w:val="00087A51"/>
    <w:rsid w:val="000906B3"/>
    <w:rsid w:val="00090B82"/>
    <w:rsid w:val="00091A8E"/>
    <w:rsid w:val="00093EC9"/>
    <w:rsid w:val="000942F5"/>
    <w:rsid w:val="00095071"/>
    <w:rsid w:val="00095077"/>
    <w:rsid w:val="00095329"/>
    <w:rsid w:val="00095A41"/>
    <w:rsid w:val="00095ECE"/>
    <w:rsid w:val="00096701"/>
    <w:rsid w:val="00096A13"/>
    <w:rsid w:val="00096A6F"/>
    <w:rsid w:val="00096C70"/>
    <w:rsid w:val="00097612"/>
    <w:rsid w:val="000976DF"/>
    <w:rsid w:val="00097A54"/>
    <w:rsid w:val="000A0EB2"/>
    <w:rsid w:val="000A1019"/>
    <w:rsid w:val="000A185F"/>
    <w:rsid w:val="000A27E7"/>
    <w:rsid w:val="000A3716"/>
    <w:rsid w:val="000A37B9"/>
    <w:rsid w:val="000A5C58"/>
    <w:rsid w:val="000A635C"/>
    <w:rsid w:val="000A64EE"/>
    <w:rsid w:val="000A6FBF"/>
    <w:rsid w:val="000A71F6"/>
    <w:rsid w:val="000B0A1F"/>
    <w:rsid w:val="000B0BE0"/>
    <w:rsid w:val="000B1440"/>
    <w:rsid w:val="000B2136"/>
    <w:rsid w:val="000B2525"/>
    <w:rsid w:val="000B4DF5"/>
    <w:rsid w:val="000B5BD3"/>
    <w:rsid w:val="000B5D4B"/>
    <w:rsid w:val="000B66E0"/>
    <w:rsid w:val="000B6ACC"/>
    <w:rsid w:val="000B75BC"/>
    <w:rsid w:val="000C0042"/>
    <w:rsid w:val="000C0D56"/>
    <w:rsid w:val="000C1487"/>
    <w:rsid w:val="000C2C97"/>
    <w:rsid w:val="000C41E1"/>
    <w:rsid w:val="000C4BB8"/>
    <w:rsid w:val="000C4BE3"/>
    <w:rsid w:val="000C4F9E"/>
    <w:rsid w:val="000C6C3C"/>
    <w:rsid w:val="000C72A7"/>
    <w:rsid w:val="000C7EE3"/>
    <w:rsid w:val="000D0797"/>
    <w:rsid w:val="000D09E4"/>
    <w:rsid w:val="000D177F"/>
    <w:rsid w:val="000D2A92"/>
    <w:rsid w:val="000D40EB"/>
    <w:rsid w:val="000D4863"/>
    <w:rsid w:val="000D494F"/>
    <w:rsid w:val="000D6A18"/>
    <w:rsid w:val="000D6D71"/>
    <w:rsid w:val="000D6D8A"/>
    <w:rsid w:val="000D7323"/>
    <w:rsid w:val="000E02F2"/>
    <w:rsid w:val="000E057B"/>
    <w:rsid w:val="000E101B"/>
    <w:rsid w:val="000E16F7"/>
    <w:rsid w:val="000E209A"/>
    <w:rsid w:val="000E3669"/>
    <w:rsid w:val="000E376A"/>
    <w:rsid w:val="000E3AC1"/>
    <w:rsid w:val="000E45F8"/>
    <w:rsid w:val="000E64A2"/>
    <w:rsid w:val="000E6AF6"/>
    <w:rsid w:val="000E6DC1"/>
    <w:rsid w:val="000E762C"/>
    <w:rsid w:val="000F11B6"/>
    <w:rsid w:val="000F1877"/>
    <w:rsid w:val="000F3888"/>
    <w:rsid w:val="000F3B51"/>
    <w:rsid w:val="000F3B87"/>
    <w:rsid w:val="000F429D"/>
    <w:rsid w:val="000F4AFD"/>
    <w:rsid w:val="000F5F9E"/>
    <w:rsid w:val="000F62B2"/>
    <w:rsid w:val="000F6335"/>
    <w:rsid w:val="001001E7"/>
    <w:rsid w:val="00102157"/>
    <w:rsid w:val="00103BC4"/>
    <w:rsid w:val="00104713"/>
    <w:rsid w:val="00105229"/>
    <w:rsid w:val="00105971"/>
    <w:rsid w:val="00105AD2"/>
    <w:rsid w:val="00106383"/>
    <w:rsid w:val="0010724B"/>
    <w:rsid w:val="001103A3"/>
    <w:rsid w:val="00110742"/>
    <w:rsid w:val="0011305B"/>
    <w:rsid w:val="00114D9B"/>
    <w:rsid w:val="00117016"/>
    <w:rsid w:val="00120026"/>
    <w:rsid w:val="00122138"/>
    <w:rsid w:val="00122152"/>
    <w:rsid w:val="001223CF"/>
    <w:rsid w:val="00123BAB"/>
    <w:rsid w:val="00124CD5"/>
    <w:rsid w:val="00124FEA"/>
    <w:rsid w:val="001265EE"/>
    <w:rsid w:val="00126DDC"/>
    <w:rsid w:val="00127FF3"/>
    <w:rsid w:val="00130A92"/>
    <w:rsid w:val="00131C6C"/>
    <w:rsid w:val="00132D87"/>
    <w:rsid w:val="00133C61"/>
    <w:rsid w:val="00133C64"/>
    <w:rsid w:val="0014082E"/>
    <w:rsid w:val="001422E4"/>
    <w:rsid w:val="0014284C"/>
    <w:rsid w:val="00142FA1"/>
    <w:rsid w:val="00143109"/>
    <w:rsid w:val="00143397"/>
    <w:rsid w:val="001443F8"/>
    <w:rsid w:val="0014535B"/>
    <w:rsid w:val="00145C38"/>
    <w:rsid w:val="00147155"/>
    <w:rsid w:val="0014777A"/>
    <w:rsid w:val="001513A5"/>
    <w:rsid w:val="00151FB1"/>
    <w:rsid w:val="00151FDE"/>
    <w:rsid w:val="00152465"/>
    <w:rsid w:val="0015335D"/>
    <w:rsid w:val="00153D93"/>
    <w:rsid w:val="00154018"/>
    <w:rsid w:val="00154419"/>
    <w:rsid w:val="00156477"/>
    <w:rsid w:val="0015752D"/>
    <w:rsid w:val="001575CC"/>
    <w:rsid w:val="00157892"/>
    <w:rsid w:val="00157A5D"/>
    <w:rsid w:val="00160259"/>
    <w:rsid w:val="00160499"/>
    <w:rsid w:val="001618FD"/>
    <w:rsid w:val="00161A5A"/>
    <w:rsid w:val="001621FA"/>
    <w:rsid w:val="001622CE"/>
    <w:rsid w:val="0016486B"/>
    <w:rsid w:val="00164EC6"/>
    <w:rsid w:val="001657AB"/>
    <w:rsid w:val="00165946"/>
    <w:rsid w:val="00166AF0"/>
    <w:rsid w:val="001677F1"/>
    <w:rsid w:val="00167897"/>
    <w:rsid w:val="0017013A"/>
    <w:rsid w:val="0017057A"/>
    <w:rsid w:val="00170933"/>
    <w:rsid w:val="00170EA1"/>
    <w:rsid w:val="0017385F"/>
    <w:rsid w:val="001749FB"/>
    <w:rsid w:val="00175825"/>
    <w:rsid w:val="0017768F"/>
    <w:rsid w:val="0018101A"/>
    <w:rsid w:val="0018229B"/>
    <w:rsid w:val="00182655"/>
    <w:rsid w:val="00182B95"/>
    <w:rsid w:val="001832CF"/>
    <w:rsid w:val="00183DB7"/>
    <w:rsid w:val="00187349"/>
    <w:rsid w:val="00187E5A"/>
    <w:rsid w:val="00190239"/>
    <w:rsid w:val="00190417"/>
    <w:rsid w:val="00190A6E"/>
    <w:rsid w:val="00192116"/>
    <w:rsid w:val="001934DF"/>
    <w:rsid w:val="00194109"/>
    <w:rsid w:val="0019427B"/>
    <w:rsid w:val="00194483"/>
    <w:rsid w:val="00194896"/>
    <w:rsid w:val="00195000"/>
    <w:rsid w:val="00195997"/>
    <w:rsid w:val="001971DA"/>
    <w:rsid w:val="001977DF"/>
    <w:rsid w:val="001A00E5"/>
    <w:rsid w:val="001A0212"/>
    <w:rsid w:val="001A06A3"/>
    <w:rsid w:val="001A07B4"/>
    <w:rsid w:val="001A100E"/>
    <w:rsid w:val="001A197C"/>
    <w:rsid w:val="001A1BCE"/>
    <w:rsid w:val="001A1CDB"/>
    <w:rsid w:val="001A2196"/>
    <w:rsid w:val="001A28ED"/>
    <w:rsid w:val="001A37DB"/>
    <w:rsid w:val="001A3AAB"/>
    <w:rsid w:val="001A3F86"/>
    <w:rsid w:val="001A495C"/>
    <w:rsid w:val="001A4A90"/>
    <w:rsid w:val="001A6C68"/>
    <w:rsid w:val="001A703A"/>
    <w:rsid w:val="001B28AB"/>
    <w:rsid w:val="001B2B8B"/>
    <w:rsid w:val="001B469F"/>
    <w:rsid w:val="001B4ECA"/>
    <w:rsid w:val="001B5279"/>
    <w:rsid w:val="001B5949"/>
    <w:rsid w:val="001B6632"/>
    <w:rsid w:val="001B7763"/>
    <w:rsid w:val="001C044A"/>
    <w:rsid w:val="001C1416"/>
    <w:rsid w:val="001C1E7A"/>
    <w:rsid w:val="001C2197"/>
    <w:rsid w:val="001C2629"/>
    <w:rsid w:val="001C3091"/>
    <w:rsid w:val="001C359B"/>
    <w:rsid w:val="001C3D92"/>
    <w:rsid w:val="001C7B40"/>
    <w:rsid w:val="001D31BA"/>
    <w:rsid w:val="001D3730"/>
    <w:rsid w:val="001D3D0A"/>
    <w:rsid w:val="001D666D"/>
    <w:rsid w:val="001D7932"/>
    <w:rsid w:val="001E05B4"/>
    <w:rsid w:val="001E0FEB"/>
    <w:rsid w:val="001E20DB"/>
    <w:rsid w:val="001E2D74"/>
    <w:rsid w:val="001E3096"/>
    <w:rsid w:val="001E3AED"/>
    <w:rsid w:val="001E3E34"/>
    <w:rsid w:val="001E42C0"/>
    <w:rsid w:val="001E4900"/>
    <w:rsid w:val="001E62CA"/>
    <w:rsid w:val="001E6ADF"/>
    <w:rsid w:val="001E7600"/>
    <w:rsid w:val="001E799A"/>
    <w:rsid w:val="001E7FF4"/>
    <w:rsid w:val="001F0EE6"/>
    <w:rsid w:val="001F1C4A"/>
    <w:rsid w:val="001F1C65"/>
    <w:rsid w:val="001F1F1E"/>
    <w:rsid w:val="001F2DD1"/>
    <w:rsid w:val="001F34E4"/>
    <w:rsid w:val="001F3D94"/>
    <w:rsid w:val="001F4159"/>
    <w:rsid w:val="001F4A37"/>
    <w:rsid w:val="001F4B53"/>
    <w:rsid w:val="001F4BDA"/>
    <w:rsid w:val="001F4CAE"/>
    <w:rsid w:val="001F5A0F"/>
    <w:rsid w:val="001F5E41"/>
    <w:rsid w:val="001F7AE6"/>
    <w:rsid w:val="0020040E"/>
    <w:rsid w:val="002010BD"/>
    <w:rsid w:val="00202C27"/>
    <w:rsid w:val="002035D2"/>
    <w:rsid w:val="00204046"/>
    <w:rsid w:val="0020629D"/>
    <w:rsid w:val="0020692D"/>
    <w:rsid w:val="00207B18"/>
    <w:rsid w:val="00207C73"/>
    <w:rsid w:val="00210496"/>
    <w:rsid w:val="0021154D"/>
    <w:rsid w:val="00211937"/>
    <w:rsid w:val="002121CC"/>
    <w:rsid w:val="002126D4"/>
    <w:rsid w:val="00212714"/>
    <w:rsid w:val="00212925"/>
    <w:rsid w:val="0021304F"/>
    <w:rsid w:val="00214E99"/>
    <w:rsid w:val="00216915"/>
    <w:rsid w:val="002200C4"/>
    <w:rsid w:val="002213E3"/>
    <w:rsid w:val="00222351"/>
    <w:rsid w:val="00223926"/>
    <w:rsid w:val="00223D0A"/>
    <w:rsid w:val="00225632"/>
    <w:rsid w:val="00225B3C"/>
    <w:rsid w:val="0022607A"/>
    <w:rsid w:val="002278C4"/>
    <w:rsid w:val="00227B28"/>
    <w:rsid w:val="00227B37"/>
    <w:rsid w:val="0023192F"/>
    <w:rsid w:val="002319B1"/>
    <w:rsid w:val="00232CE3"/>
    <w:rsid w:val="00232FA1"/>
    <w:rsid w:val="00233344"/>
    <w:rsid w:val="00233518"/>
    <w:rsid w:val="00233687"/>
    <w:rsid w:val="002337ED"/>
    <w:rsid w:val="0023395D"/>
    <w:rsid w:val="0023419F"/>
    <w:rsid w:val="002344E4"/>
    <w:rsid w:val="00234C81"/>
    <w:rsid w:val="00234E6F"/>
    <w:rsid w:val="002355BC"/>
    <w:rsid w:val="00236803"/>
    <w:rsid w:val="00236AD6"/>
    <w:rsid w:val="00237F1E"/>
    <w:rsid w:val="00241B6E"/>
    <w:rsid w:val="00243302"/>
    <w:rsid w:val="00244701"/>
    <w:rsid w:val="00244BB0"/>
    <w:rsid w:val="00245224"/>
    <w:rsid w:val="00246327"/>
    <w:rsid w:val="0024682F"/>
    <w:rsid w:val="00247103"/>
    <w:rsid w:val="00247EA0"/>
    <w:rsid w:val="002533E8"/>
    <w:rsid w:val="00253845"/>
    <w:rsid w:val="00257C39"/>
    <w:rsid w:val="00257F5F"/>
    <w:rsid w:val="00260348"/>
    <w:rsid w:val="002608B9"/>
    <w:rsid w:val="00260A34"/>
    <w:rsid w:val="00262B06"/>
    <w:rsid w:val="00262DBE"/>
    <w:rsid w:val="00263896"/>
    <w:rsid w:val="00264729"/>
    <w:rsid w:val="00265A1A"/>
    <w:rsid w:val="00266245"/>
    <w:rsid w:val="0026706C"/>
    <w:rsid w:val="0027333F"/>
    <w:rsid w:val="00274027"/>
    <w:rsid w:val="002741E5"/>
    <w:rsid w:val="00274F8E"/>
    <w:rsid w:val="0027708D"/>
    <w:rsid w:val="00277CA6"/>
    <w:rsid w:val="00281139"/>
    <w:rsid w:val="00281865"/>
    <w:rsid w:val="002818E4"/>
    <w:rsid w:val="0028245B"/>
    <w:rsid w:val="002831FF"/>
    <w:rsid w:val="002840E6"/>
    <w:rsid w:val="00284734"/>
    <w:rsid w:val="00284AA3"/>
    <w:rsid w:val="00284BF2"/>
    <w:rsid w:val="00285E57"/>
    <w:rsid w:val="00285EBE"/>
    <w:rsid w:val="00286564"/>
    <w:rsid w:val="00287629"/>
    <w:rsid w:val="002877FA"/>
    <w:rsid w:val="0028781D"/>
    <w:rsid w:val="00287847"/>
    <w:rsid w:val="00287B94"/>
    <w:rsid w:val="00287DFA"/>
    <w:rsid w:val="00291750"/>
    <w:rsid w:val="00292631"/>
    <w:rsid w:val="00292C52"/>
    <w:rsid w:val="00293687"/>
    <w:rsid w:val="00294872"/>
    <w:rsid w:val="002974EC"/>
    <w:rsid w:val="00297729"/>
    <w:rsid w:val="002A1C9B"/>
    <w:rsid w:val="002A25C1"/>
    <w:rsid w:val="002A3B7A"/>
    <w:rsid w:val="002A3E48"/>
    <w:rsid w:val="002A7ACF"/>
    <w:rsid w:val="002A7E0C"/>
    <w:rsid w:val="002B0F21"/>
    <w:rsid w:val="002B1D84"/>
    <w:rsid w:val="002B1EF0"/>
    <w:rsid w:val="002B2F83"/>
    <w:rsid w:val="002B3730"/>
    <w:rsid w:val="002B4097"/>
    <w:rsid w:val="002B531A"/>
    <w:rsid w:val="002B64EA"/>
    <w:rsid w:val="002B6E6C"/>
    <w:rsid w:val="002B72A2"/>
    <w:rsid w:val="002C18BC"/>
    <w:rsid w:val="002C384D"/>
    <w:rsid w:val="002C3E82"/>
    <w:rsid w:val="002C51F3"/>
    <w:rsid w:val="002C5977"/>
    <w:rsid w:val="002C63B2"/>
    <w:rsid w:val="002C6741"/>
    <w:rsid w:val="002C6A9E"/>
    <w:rsid w:val="002D11A5"/>
    <w:rsid w:val="002D1575"/>
    <w:rsid w:val="002D1686"/>
    <w:rsid w:val="002D3393"/>
    <w:rsid w:val="002D4093"/>
    <w:rsid w:val="002D4D3F"/>
    <w:rsid w:val="002D582C"/>
    <w:rsid w:val="002D7950"/>
    <w:rsid w:val="002E211C"/>
    <w:rsid w:val="002E3A3E"/>
    <w:rsid w:val="002E3F0F"/>
    <w:rsid w:val="002E4BE7"/>
    <w:rsid w:val="002E5C39"/>
    <w:rsid w:val="002E61B1"/>
    <w:rsid w:val="002E74FE"/>
    <w:rsid w:val="002F0903"/>
    <w:rsid w:val="002F0EE2"/>
    <w:rsid w:val="002F1AA7"/>
    <w:rsid w:val="002F3358"/>
    <w:rsid w:val="002F469A"/>
    <w:rsid w:val="002F4E0F"/>
    <w:rsid w:val="002F517A"/>
    <w:rsid w:val="002F5282"/>
    <w:rsid w:val="002F53C1"/>
    <w:rsid w:val="002F5630"/>
    <w:rsid w:val="002F59BC"/>
    <w:rsid w:val="002F62AE"/>
    <w:rsid w:val="002F77B3"/>
    <w:rsid w:val="00300505"/>
    <w:rsid w:val="0030077B"/>
    <w:rsid w:val="0030145F"/>
    <w:rsid w:val="003014FD"/>
    <w:rsid w:val="00301863"/>
    <w:rsid w:val="003024D3"/>
    <w:rsid w:val="00302F18"/>
    <w:rsid w:val="003030E4"/>
    <w:rsid w:val="00303865"/>
    <w:rsid w:val="00303F88"/>
    <w:rsid w:val="00305215"/>
    <w:rsid w:val="003069D6"/>
    <w:rsid w:val="003101F5"/>
    <w:rsid w:val="003104EE"/>
    <w:rsid w:val="003120AC"/>
    <w:rsid w:val="0031308A"/>
    <w:rsid w:val="00314410"/>
    <w:rsid w:val="003150A2"/>
    <w:rsid w:val="0031541A"/>
    <w:rsid w:val="00316504"/>
    <w:rsid w:val="003167ED"/>
    <w:rsid w:val="00317F30"/>
    <w:rsid w:val="00321259"/>
    <w:rsid w:val="00322FBD"/>
    <w:rsid w:val="00323C38"/>
    <w:rsid w:val="003247AE"/>
    <w:rsid w:val="003248D0"/>
    <w:rsid w:val="00326893"/>
    <w:rsid w:val="00327BD2"/>
    <w:rsid w:val="00331504"/>
    <w:rsid w:val="00331A15"/>
    <w:rsid w:val="00332A7E"/>
    <w:rsid w:val="00332AF4"/>
    <w:rsid w:val="00332B91"/>
    <w:rsid w:val="003330BD"/>
    <w:rsid w:val="003337EE"/>
    <w:rsid w:val="0033771D"/>
    <w:rsid w:val="00341B84"/>
    <w:rsid w:val="003427F2"/>
    <w:rsid w:val="00343323"/>
    <w:rsid w:val="00343F3C"/>
    <w:rsid w:val="003446EB"/>
    <w:rsid w:val="00346DFC"/>
    <w:rsid w:val="003470DD"/>
    <w:rsid w:val="00347ABF"/>
    <w:rsid w:val="00351449"/>
    <w:rsid w:val="003523AF"/>
    <w:rsid w:val="00352C44"/>
    <w:rsid w:val="00353BAD"/>
    <w:rsid w:val="0035467F"/>
    <w:rsid w:val="00354D61"/>
    <w:rsid w:val="00355793"/>
    <w:rsid w:val="00355D16"/>
    <w:rsid w:val="00356808"/>
    <w:rsid w:val="00357550"/>
    <w:rsid w:val="00360398"/>
    <w:rsid w:val="003603A6"/>
    <w:rsid w:val="00361093"/>
    <w:rsid w:val="0036116C"/>
    <w:rsid w:val="0036162E"/>
    <w:rsid w:val="00362BB2"/>
    <w:rsid w:val="0036300A"/>
    <w:rsid w:val="003636DC"/>
    <w:rsid w:val="00364D01"/>
    <w:rsid w:val="00365107"/>
    <w:rsid w:val="003652C4"/>
    <w:rsid w:val="00370335"/>
    <w:rsid w:val="003710FE"/>
    <w:rsid w:val="003713A0"/>
    <w:rsid w:val="003714F2"/>
    <w:rsid w:val="00372228"/>
    <w:rsid w:val="00372359"/>
    <w:rsid w:val="00373544"/>
    <w:rsid w:val="00374302"/>
    <w:rsid w:val="00374CAD"/>
    <w:rsid w:val="0037506B"/>
    <w:rsid w:val="00375085"/>
    <w:rsid w:val="00375399"/>
    <w:rsid w:val="003772C9"/>
    <w:rsid w:val="00380934"/>
    <w:rsid w:val="00380C8C"/>
    <w:rsid w:val="00381CC7"/>
    <w:rsid w:val="003845CE"/>
    <w:rsid w:val="00384AE3"/>
    <w:rsid w:val="0038543B"/>
    <w:rsid w:val="00385B01"/>
    <w:rsid w:val="00386B16"/>
    <w:rsid w:val="00387299"/>
    <w:rsid w:val="003877D3"/>
    <w:rsid w:val="00387F77"/>
    <w:rsid w:val="0039150E"/>
    <w:rsid w:val="0039183F"/>
    <w:rsid w:val="00391B0A"/>
    <w:rsid w:val="00395026"/>
    <w:rsid w:val="003A08F3"/>
    <w:rsid w:val="003A0C9C"/>
    <w:rsid w:val="003A1D1D"/>
    <w:rsid w:val="003A2FA5"/>
    <w:rsid w:val="003A2FC3"/>
    <w:rsid w:val="003A54A8"/>
    <w:rsid w:val="003A6815"/>
    <w:rsid w:val="003A70F4"/>
    <w:rsid w:val="003A771E"/>
    <w:rsid w:val="003B0C43"/>
    <w:rsid w:val="003B151F"/>
    <w:rsid w:val="003B225C"/>
    <w:rsid w:val="003B26A4"/>
    <w:rsid w:val="003B30C7"/>
    <w:rsid w:val="003B3342"/>
    <w:rsid w:val="003B3881"/>
    <w:rsid w:val="003B4D63"/>
    <w:rsid w:val="003B4E62"/>
    <w:rsid w:val="003B7404"/>
    <w:rsid w:val="003B7B4C"/>
    <w:rsid w:val="003C0546"/>
    <w:rsid w:val="003C263E"/>
    <w:rsid w:val="003C2D7C"/>
    <w:rsid w:val="003C34A7"/>
    <w:rsid w:val="003C378B"/>
    <w:rsid w:val="003C37BE"/>
    <w:rsid w:val="003C4B70"/>
    <w:rsid w:val="003C4EED"/>
    <w:rsid w:val="003C51C5"/>
    <w:rsid w:val="003C630C"/>
    <w:rsid w:val="003C7DA1"/>
    <w:rsid w:val="003D20B9"/>
    <w:rsid w:val="003D2364"/>
    <w:rsid w:val="003D3099"/>
    <w:rsid w:val="003D34CB"/>
    <w:rsid w:val="003D36C8"/>
    <w:rsid w:val="003D3BF7"/>
    <w:rsid w:val="003D65CB"/>
    <w:rsid w:val="003D6B32"/>
    <w:rsid w:val="003E22AD"/>
    <w:rsid w:val="003E255B"/>
    <w:rsid w:val="003E268F"/>
    <w:rsid w:val="003E2CEE"/>
    <w:rsid w:val="003E3951"/>
    <w:rsid w:val="003E4567"/>
    <w:rsid w:val="003E4BAE"/>
    <w:rsid w:val="003E4E2A"/>
    <w:rsid w:val="003E55D2"/>
    <w:rsid w:val="003F0B15"/>
    <w:rsid w:val="003F170E"/>
    <w:rsid w:val="003F1ECF"/>
    <w:rsid w:val="003F1FF9"/>
    <w:rsid w:val="003F2A04"/>
    <w:rsid w:val="003F2C55"/>
    <w:rsid w:val="003F375D"/>
    <w:rsid w:val="003F39CC"/>
    <w:rsid w:val="003F3ABA"/>
    <w:rsid w:val="003F400E"/>
    <w:rsid w:val="003F4FF0"/>
    <w:rsid w:val="003F56F5"/>
    <w:rsid w:val="003F6010"/>
    <w:rsid w:val="003F65FB"/>
    <w:rsid w:val="003F6DC0"/>
    <w:rsid w:val="0040002D"/>
    <w:rsid w:val="00400DFA"/>
    <w:rsid w:val="004013EC"/>
    <w:rsid w:val="004016CB"/>
    <w:rsid w:val="00402AEF"/>
    <w:rsid w:val="00402CF2"/>
    <w:rsid w:val="0040370C"/>
    <w:rsid w:val="00403A7A"/>
    <w:rsid w:val="00405014"/>
    <w:rsid w:val="004051F2"/>
    <w:rsid w:val="00405C7C"/>
    <w:rsid w:val="00405D23"/>
    <w:rsid w:val="004076BE"/>
    <w:rsid w:val="004105BB"/>
    <w:rsid w:val="00415576"/>
    <w:rsid w:val="00416B4D"/>
    <w:rsid w:val="00417156"/>
    <w:rsid w:val="00417AD8"/>
    <w:rsid w:val="00420106"/>
    <w:rsid w:val="00420BC0"/>
    <w:rsid w:val="00421DC4"/>
    <w:rsid w:val="004226AE"/>
    <w:rsid w:val="00422C75"/>
    <w:rsid w:val="0042357B"/>
    <w:rsid w:val="00423873"/>
    <w:rsid w:val="0042588D"/>
    <w:rsid w:val="0042644B"/>
    <w:rsid w:val="00426D89"/>
    <w:rsid w:val="0043044D"/>
    <w:rsid w:val="00430602"/>
    <w:rsid w:val="00430C81"/>
    <w:rsid w:val="00431E8A"/>
    <w:rsid w:val="00432B21"/>
    <w:rsid w:val="00433032"/>
    <w:rsid w:val="00433189"/>
    <w:rsid w:val="004333F2"/>
    <w:rsid w:val="00434346"/>
    <w:rsid w:val="004357D4"/>
    <w:rsid w:val="00436077"/>
    <w:rsid w:val="004360DE"/>
    <w:rsid w:val="004368A8"/>
    <w:rsid w:val="00437C06"/>
    <w:rsid w:val="00440859"/>
    <w:rsid w:val="0044137F"/>
    <w:rsid w:val="004413C1"/>
    <w:rsid w:val="00441600"/>
    <w:rsid w:val="004417BF"/>
    <w:rsid w:val="00441EFE"/>
    <w:rsid w:val="00442177"/>
    <w:rsid w:val="00442274"/>
    <w:rsid w:val="004425FD"/>
    <w:rsid w:val="00442716"/>
    <w:rsid w:val="00443ABC"/>
    <w:rsid w:val="004449F5"/>
    <w:rsid w:val="00445855"/>
    <w:rsid w:val="00445DCE"/>
    <w:rsid w:val="00446203"/>
    <w:rsid w:val="004466BB"/>
    <w:rsid w:val="004467A5"/>
    <w:rsid w:val="00446F7D"/>
    <w:rsid w:val="00450655"/>
    <w:rsid w:val="00451799"/>
    <w:rsid w:val="00451FA6"/>
    <w:rsid w:val="00452C1D"/>
    <w:rsid w:val="00453773"/>
    <w:rsid w:val="00453C0E"/>
    <w:rsid w:val="0045419E"/>
    <w:rsid w:val="00455AD6"/>
    <w:rsid w:val="00455FF5"/>
    <w:rsid w:val="004560A3"/>
    <w:rsid w:val="004564AA"/>
    <w:rsid w:val="00460E3A"/>
    <w:rsid w:val="0046141C"/>
    <w:rsid w:val="00461449"/>
    <w:rsid w:val="004615B6"/>
    <w:rsid w:val="00461FD8"/>
    <w:rsid w:val="004628D6"/>
    <w:rsid w:val="00462AAC"/>
    <w:rsid w:val="00462BA7"/>
    <w:rsid w:val="00465F1D"/>
    <w:rsid w:val="00466FA4"/>
    <w:rsid w:val="00470128"/>
    <w:rsid w:val="004706CF"/>
    <w:rsid w:val="00471036"/>
    <w:rsid w:val="004720D4"/>
    <w:rsid w:val="00472FEB"/>
    <w:rsid w:val="00473550"/>
    <w:rsid w:val="00473834"/>
    <w:rsid w:val="00473C67"/>
    <w:rsid w:val="00474016"/>
    <w:rsid w:val="00474A80"/>
    <w:rsid w:val="00476C69"/>
    <w:rsid w:val="00476CCF"/>
    <w:rsid w:val="00477156"/>
    <w:rsid w:val="00477770"/>
    <w:rsid w:val="00477C4F"/>
    <w:rsid w:val="0048020C"/>
    <w:rsid w:val="00480BC1"/>
    <w:rsid w:val="00483866"/>
    <w:rsid w:val="00483BCF"/>
    <w:rsid w:val="00484CD9"/>
    <w:rsid w:val="00484D7B"/>
    <w:rsid w:val="00485AA5"/>
    <w:rsid w:val="00485DDC"/>
    <w:rsid w:val="0049054C"/>
    <w:rsid w:val="00490764"/>
    <w:rsid w:val="00490D64"/>
    <w:rsid w:val="00491558"/>
    <w:rsid w:val="0049164B"/>
    <w:rsid w:val="00492606"/>
    <w:rsid w:val="0049293D"/>
    <w:rsid w:val="00492CDD"/>
    <w:rsid w:val="00492FF6"/>
    <w:rsid w:val="00493183"/>
    <w:rsid w:val="00493BD8"/>
    <w:rsid w:val="00494765"/>
    <w:rsid w:val="00496002"/>
    <w:rsid w:val="00496116"/>
    <w:rsid w:val="0049696F"/>
    <w:rsid w:val="004A01CE"/>
    <w:rsid w:val="004A13D7"/>
    <w:rsid w:val="004A1646"/>
    <w:rsid w:val="004A2EE4"/>
    <w:rsid w:val="004A321D"/>
    <w:rsid w:val="004A3AD2"/>
    <w:rsid w:val="004A4345"/>
    <w:rsid w:val="004A4A0A"/>
    <w:rsid w:val="004A503C"/>
    <w:rsid w:val="004A58CB"/>
    <w:rsid w:val="004A5C81"/>
    <w:rsid w:val="004A60BC"/>
    <w:rsid w:val="004A6295"/>
    <w:rsid w:val="004A6B52"/>
    <w:rsid w:val="004A6C3B"/>
    <w:rsid w:val="004A72BA"/>
    <w:rsid w:val="004A785D"/>
    <w:rsid w:val="004A7A6A"/>
    <w:rsid w:val="004A7A92"/>
    <w:rsid w:val="004B00E5"/>
    <w:rsid w:val="004B20E0"/>
    <w:rsid w:val="004B21A4"/>
    <w:rsid w:val="004B21E7"/>
    <w:rsid w:val="004B3E50"/>
    <w:rsid w:val="004B45A6"/>
    <w:rsid w:val="004B4719"/>
    <w:rsid w:val="004B4C9A"/>
    <w:rsid w:val="004B5754"/>
    <w:rsid w:val="004B66CF"/>
    <w:rsid w:val="004B6FB8"/>
    <w:rsid w:val="004B7481"/>
    <w:rsid w:val="004C061A"/>
    <w:rsid w:val="004C0AA1"/>
    <w:rsid w:val="004C0BA2"/>
    <w:rsid w:val="004C0BE2"/>
    <w:rsid w:val="004C1571"/>
    <w:rsid w:val="004C2EAA"/>
    <w:rsid w:val="004C2F6F"/>
    <w:rsid w:val="004C3768"/>
    <w:rsid w:val="004C3E38"/>
    <w:rsid w:val="004C49E9"/>
    <w:rsid w:val="004C579D"/>
    <w:rsid w:val="004C5E06"/>
    <w:rsid w:val="004C6D42"/>
    <w:rsid w:val="004D30B9"/>
    <w:rsid w:val="004D3650"/>
    <w:rsid w:val="004D418B"/>
    <w:rsid w:val="004D4268"/>
    <w:rsid w:val="004D4544"/>
    <w:rsid w:val="004D565E"/>
    <w:rsid w:val="004D7171"/>
    <w:rsid w:val="004D731F"/>
    <w:rsid w:val="004D79AD"/>
    <w:rsid w:val="004D7A28"/>
    <w:rsid w:val="004E0AA6"/>
    <w:rsid w:val="004E0EEA"/>
    <w:rsid w:val="004E16CE"/>
    <w:rsid w:val="004E1943"/>
    <w:rsid w:val="004E2716"/>
    <w:rsid w:val="004E37B4"/>
    <w:rsid w:val="004E403B"/>
    <w:rsid w:val="004E4379"/>
    <w:rsid w:val="004E46B9"/>
    <w:rsid w:val="004E4783"/>
    <w:rsid w:val="004E594C"/>
    <w:rsid w:val="004E5AB2"/>
    <w:rsid w:val="004E69B9"/>
    <w:rsid w:val="004F00FC"/>
    <w:rsid w:val="004F054E"/>
    <w:rsid w:val="004F1290"/>
    <w:rsid w:val="004F160B"/>
    <w:rsid w:val="004F25CD"/>
    <w:rsid w:val="004F341D"/>
    <w:rsid w:val="004F463F"/>
    <w:rsid w:val="004F4AE6"/>
    <w:rsid w:val="004F4C39"/>
    <w:rsid w:val="004F505E"/>
    <w:rsid w:val="004F7D23"/>
    <w:rsid w:val="004F7D95"/>
    <w:rsid w:val="0050084D"/>
    <w:rsid w:val="00501139"/>
    <w:rsid w:val="00502446"/>
    <w:rsid w:val="00502684"/>
    <w:rsid w:val="0050334B"/>
    <w:rsid w:val="00503ADF"/>
    <w:rsid w:val="005045E5"/>
    <w:rsid w:val="00505A9E"/>
    <w:rsid w:val="00505D87"/>
    <w:rsid w:val="00506F3B"/>
    <w:rsid w:val="005072CB"/>
    <w:rsid w:val="00507D1A"/>
    <w:rsid w:val="0051065C"/>
    <w:rsid w:val="00510B4F"/>
    <w:rsid w:val="00511605"/>
    <w:rsid w:val="005124CA"/>
    <w:rsid w:val="00512F7F"/>
    <w:rsid w:val="005137E7"/>
    <w:rsid w:val="005160F4"/>
    <w:rsid w:val="00516177"/>
    <w:rsid w:val="00516204"/>
    <w:rsid w:val="0051698C"/>
    <w:rsid w:val="00516F37"/>
    <w:rsid w:val="005203D2"/>
    <w:rsid w:val="0052494A"/>
    <w:rsid w:val="00525208"/>
    <w:rsid w:val="0052539F"/>
    <w:rsid w:val="005253CF"/>
    <w:rsid w:val="00525429"/>
    <w:rsid w:val="00525D2F"/>
    <w:rsid w:val="00525E8C"/>
    <w:rsid w:val="00526E85"/>
    <w:rsid w:val="00531C83"/>
    <w:rsid w:val="00532357"/>
    <w:rsid w:val="00534B98"/>
    <w:rsid w:val="00535869"/>
    <w:rsid w:val="00536B38"/>
    <w:rsid w:val="0053787F"/>
    <w:rsid w:val="00540F7D"/>
    <w:rsid w:val="00540F82"/>
    <w:rsid w:val="005418BE"/>
    <w:rsid w:val="00542111"/>
    <w:rsid w:val="00542897"/>
    <w:rsid w:val="00544D21"/>
    <w:rsid w:val="005455E9"/>
    <w:rsid w:val="00546118"/>
    <w:rsid w:val="00546315"/>
    <w:rsid w:val="00546CB9"/>
    <w:rsid w:val="0054707F"/>
    <w:rsid w:val="00547343"/>
    <w:rsid w:val="0054738D"/>
    <w:rsid w:val="00547928"/>
    <w:rsid w:val="00547F35"/>
    <w:rsid w:val="00550739"/>
    <w:rsid w:val="005508B6"/>
    <w:rsid w:val="00550904"/>
    <w:rsid w:val="00550E78"/>
    <w:rsid w:val="00552A39"/>
    <w:rsid w:val="005532EC"/>
    <w:rsid w:val="0055531C"/>
    <w:rsid w:val="005573E2"/>
    <w:rsid w:val="005577F3"/>
    <w:rsid w:val="005600F5"/>
    <w:rsid w:val="00560227"/>
    <w:rsid w:val="005616E5"/>
    <w:rsid w:val="005639D1"/>
    <w:rsid w:val="00563A87"/>
    <w:rsid w:val="00563C89"/>
    <w:rsid w:val="00564706"/>
    <w:rsid w:val="00564BB0"/>
    <w:rsid w:val="0056756F"/>
    <w:rsid w:val="00570DB4"/>
    <w:rsid w:val="00570EAE"/>
    <w:rsid w:val="00572E0C"/>
    <w:rsid w:val="00573CCD"/>
    <w:rsid w:val="00573D81"/>
    <w:rsid w:val="0057402C"/>
    <w:rsid w:val="00574BEC"/>
    <w:rsid w:val="005750A1"/>
    <w:rsid w:val="00576128"/>
    <w:rsid w:val="00576301"/>
    <w:rsid w:val="00576B7E"/>
    <w:rsid w:val="0057711C"/>
    <w:rsid w:val="0058038F"/>
    <w:rsid w:val="00581A4E"/>
    <w:rsid w:val="00581EED"/>
    <w:rsid w:val="00581F82"/>
    <w:rsid w:val="00582DDC"/>
    <w:rsid w:val="00584BE5"/>
    <w:rsid w:val="005865E8"/>
    <w:rsid w:val="0058674F"/>
    <w:rsid w:val="00587119"/>
    <w:rsid w:val="00587323"/>
    <w:rsid w:val="0058742F"/>
    <w:rsid w:val="005903C4"/>
    <w:rsid w:val="005905AD"/>
    <w:rsid w:val="00591613"/>
    <w:rsid w:val="005935C4"/>
    <w:rsid w:val="00593AC1"/>
    <w:rsid w:val="00594384"/>
    <w:rsid w:val="00594CBA"/>
    <w:rsid w:val="00595213"/>
    <w:rsid w:val="00595C12"/>
    <w:rsid w:val="005960AD"/>
    <w:rsid w:val="00596280"/>
    <w:rsid w:val="00596C31"/>
    <w:rsid w:val="0059783F"/>
    <w:rsid w:val="005A0B87"/>
    <w:rsid w:val="005A124B"/>
    <w:rsid w:val="005A1D64"/>
    <w:rsid w:val="005A4B07"/>
    <w:rsid w:val="005A5028"/>
    <w:rsid w:val="005A597F"/>
    <w:rsid w:val="005A6272"/>
    <w:rsid w:val="005A6F66"/>
    <w:rsid w:val="005B0198"/>
    <w:rsid w:val="005B093D"/>
    <w:rsid w:val="005B1F8C"/>
    <w:rsid w:val="005B209C"/>
    <w:rsid w:val="005B2273"/>
    <w:rsid w:val="005B29A2"/>
    <w:rsid w:val="005B2A28"/>
    <w:rsid w:val="005B3733"/>
    <w:rsid w:val="005B5667"/>
    <w:rsid w:val="005B59C1"/>
    <w:rsid w:val="005B602D"/>
    <w:rsid w:val="005B6C6B"/>
    <w:rsid w:val="005B6D4B"/>
    <w:rsid w:val="005B7268"/>
    <w:rsid w:val="005B72DB"/>
    <w:rsid w:val="005B7824"/>
    <w:rsid w:val="005B7E44"/>
    <w:rsid w:val="005C0300"/>
    <w:rsid w:val="005C03B9"/>
    <w:rsid w:val="005C49F2"/>
    <w:rsid w:val="005C4F2E"/>
    <w:rsid w:val="005C53DA"/>
    <w:rsid w:val="005C56E6"/>
    <w:rsid w:val="005C6212"/>
    <w:rsid w:val="005C666A"/>
    <w:rsid w:val="005C66FD"/>
    <w:rsid w:val="005C7B48"/>
    <w:rsid w:val="005C7D68"/>
    <w:rsid w:val="005D1792"/>
    <w:rsid w:val="005D1EAA"/>
    <w:rsid w:val="005D3123"/>
    <w:rsid w:val="005D34F2"/>
    <w:rsid w:val="005D44B2"/>
    <w:rsid w:val="005D4A79"/>
    <w:rsid w:val="005D5528"/>
    <w:rsid w:val="005D55A1"/>
    <w:rsid w:val="005D588B"/>
    <w:rsid w:val="005D787B"/>
    <w:rsid w:val="005D7B0D"/>
    <w:rsid w:val="005D7B91"/>
    <w:rsid w:val="005E0390"/>
    <w:rsid w:val="005E39F1"/>
    <w:rsid w:val="005E4640"/>
    <w:rsid w:val="005E551B"/>
    <w:rsid w:val="005E5FEA"/>
    <w:rsid w:val="005E6BC0"/>
    <w:rsid w:val="005E77EB"/>
    <w:rsid w:val="005E78E7"/>
    <w:rsid w:val="005F0236"/>
    <w:rsid w:val="005F0694"/>
    <w:rsid w:val="005F0E3A"/>
    <w:rsid w:val="005F1999"/>
    <w:rsid w:val="005F1AC6"/>
    <w:rsid w:val="005F22DF"/>
    <w:rsid w:val="005F2B43"/>
    <w:rsid w:val="005F3519"/>
    <w:rsid w:val="005F456B"/>
    <w:rsid w:val="005F4F68"/>
    <w:rsid w:val="005F513C"/>
    <w:rsid w:val="005F5B0B"/>
    <w:rsid w:val="005F67C4"/>
    <w:rsid w:val="005F6864"/>
    <w:rsid w:val="00600E81"/>
    <w:rsid w:val="006032FA"/>
    <w:rsid w:val="00604D26"/>
    <w:rsid w:val="0060545E"/>
    <w:rsid w:val="00607938"/>
    <w:rsid w:val="006101D3"/>
    <w:rsid w:val="006103BE"/>
    <w:rsid w:val="00610970"/>
    <w:rsid w:val="00610CA8"/>
    <w:rsid w:val="00611542"/>
    <w:rsid w:val="00611AC0"/>
    <w:rsid w:val="006137EC"/>
    <w:rsid w:val="00614430"/>
    <w:rsid w:val="0061552B"/>
    <w:rsid w:val="00615EDA"/>
    <w:rsid w:val="00617865"/>
    <w:rsid w:val="00617F24"/>
    <w:rsid w:val="0062183A"/>
    <w:rsid w:val="0062342E"/>
    <w:rsid w:val="00624043"/>
    <w:rsid w:val="0062442F"/>
    <w:rsid w:val="00630CD4"/>
    <w:rsid w:val="00632886"/>
    <w:rsid w:val="00634210"/>
    <w:rsid w:val="00636DE9"/>
    <w:rsid w:val="006403D9"/>
    <w:rsid w:val="0064045E"/>
    <w:rsid w:val="00642132"/>
    <w:rsid w:val="0064350A"/>
    <w:rsid w:val="00643A4E"/>
    <w:rsid w:val="00643D1A"/>
    <w:rsid w:val="0064414A"/>
    <w:rsid w:val="00645563"/>
    <w:rsid w:val="0064563B"/>
    <w:rsid w:val="0064686A"/>
    <w:rsid w:val="00646905"/>
    <w:rsid w:val="00646C8B"/>
    <w:rsid w:val="006478DE"/>
    <w:rsid w:val="00647C2D"/>
    <w:rsid w:val="00650B56"/>
    <w:rsid w:val="00650BF5"/>
    <w:rsid w:val="00651079"/>
    <w:rsid w:val="00651975"/>
    <w:rsid w:val="00651B88"/>
    <w:rsid w:val="006536EB"/>
    <w:rsid w:val="0065450D"/>
    <w:rsid w:val="00655B8F"/>
    <w:rsid w:val="00656550"/>
    <w:rsid w:val="00656869"/>
    <w:rsid w:val="0065792A"/>
    <w:rsid w:val="0066202A"/>
    <w:rsid w:val="00662930"/>
    <w:rsid w:val="00662E63"/>
    <w:rsid w:val="0066346B"/>
    <w:rsid w:val="00663D5C"/>
    <w:rsid w:val="00663DF7"/>
    <w:rsid w:val="0066512C"/>
    <w:rsid w:val="00665459"/>
    <w:rsid w:val="00666694"/>
    <w:rsid w:val="00670C1F"/>
    <w:rsid w:val="00671147"/>
    <w:rsid w:val="00671813"/>
    <w:rsid w:val="0067284D"/>
    <w:rsid w:val="00673E47"/>
    <w:rsid w:val="0067695E"/>
    <w:rsid w:val="00676CCC"/>
    <w:rsid w:val="00677FB4"/>
    <w:rsid w:val="00681381"/>
    <w:rsid w:val="00682767"/>
    <w:rsid w:val="00683460"/>
    <w:rsid w:val="0068498A"/>
    <w:rsid w:val="00684D98"/>
    <w:rsid w:val="00685799"/>
    <w:rsid w:val="006874C7"/>
    <w:rsid w:val="00690241"/>
    <w:rsid w:val="00690831"/>
    <w:rsid w:val="00690A71"/>
    <w:rsid w:val="00690CD3"/>
    <w:rsid w:val="006911D4"/>
    <w:rsid w:val="0069199A"/>
    <w:rsid w:val="00692C55"/>
    <w:rsid w:val="006944F2"/>
    <w:rsid w:val="00694AF6"/>
    <w:rsid w:val="0069514F"/>
    <w:rsid w:val="006956ED"/>
    <w:rsid w:val="00695D74"/>
    <w:rsid w:val="006968EA"/>
    <w:rsid w:val="0069777B"/>
    <w:rsid w:val="006A0608"/>
    <w:rsid w:val="006A1351"/>
    <w:rsid w:val="006A18BF"/>
    <w:rsid w:val="006A1CC8"/>
    <w:rsid w:val="006A30A5"/>
    <w:rsid w:val="006A3441"/>
    <w:rsid w:val="006A3453"/>
    <w:rsid w:val="006A379C"/>
    <w:rsid w:val="006A420D"/>
    <w:rsid w:val="006A468D"/>
    <w:rsid w:val="006A56A0"/>
    <w:rsid w:val="006A766F"/>
    <w:rsid w:val="006B0E34"/>
    <w:rsid w:val="006B11CE"/>
    <w:rsid w:val="006B1AEF"/>
    <w:rsid w:val="006B505A"/>
    <w:rsid w:val="006B5B1C"/>
    <w:rsid w:val="006C152E"/>
    <w:rsid w:val="006C221F"/>
    <w:rsid w:val="006C287D"/>
    <w:rsid w:val="006C2F53"/>
    <w:rsid w:val="006C3A9C"/>
    <w:rsid w:val="006C3D74"/>
    <w:rsid w:val="006C58F0"/>
    <w:rsid w:val="006C7146"/>
    <w:rsid w:val="006C7572"/>
    <w:rsid w:val="006D07F0"/>
    <w:rsid w:val="006D1EF6"/>
    <w:rsid w:val="006D1F4E"/>
    <w:rsid w:val="006D289C"/>
    <w:rsid w:val="006D2C97"/>
    <w:rsid w:val="006D5EAB"/>
    <w:rsid w:val="006D6B4D"/>
    <w:rsid w:val="006D6B6D"/>
    <w:rsid w:val="006D6C93"/>
    <w:rsid w:val="006D739D"/>
    <w:rsid w:val="006E0164"/>
    <w:rsid w:val="006E05F7"/>
    <w:rsid w:val="006E06B7"/>
    <w:rsid w:val="006E08CA"/>
    <w:rsid w:val="006E18CC"/>
    <w:rsid w:val="006E1B77"/>
    <w:rsid w:val="006E3545"/>
    <w:rsid w:val="006E3A62"/>
    <w:rsid w:val="006E4DB8"/>
    <w:rsid w:val="006E5583"/>
    <w:rsid w:val="006E776B"/>
    <w:rsid w:val="006E77BB"/>
    <w:rsid w:val="006F0628"/>
    <w:rsid w:val="006F0A12"/>
    <w:rsid w:val="006F113C"/>
    <w:rsid w:val="006F3578"/>
    <w:rsid w:val="006F3B1F"/>
    <w:rsid w:val="006F3BA5"/>
    <w:rsid w:val="006F5096"/>
    <w:rsid w:val="006F5511"/>
    <w:rsid w:val="006F5872"/>
    <w:rsid w:val="006F7362"/>
    <w:rsid w:val="0070310B"/>
    <w:rsid w:val="00706163"/>
    <w:rsid w:val="00706B2C"/>
    <w:rsid w:val="00706F49"/>
    <w:rsid w:val="00707781"/>
    <w:rsid w:val="0071103F"/>
    <w:rsid w:val="007116A2"/>
    <w:rsid w:val="00711762"/>
    <w:rsid w:val="00711A98"/>
    <w:rsid w:val="0071264C"/>
    <w:rsid w:val="007137EC"/>
    <w:rsid w:val="00714394"/>
    <w:rsid w:val="007149EB"/>
    <w:rsid w:val="0071617F"/>
    <w:rsid w:val="00716A4D"/>
    <w:rsid w:val="00720C02"/>
    <w:rsid w:val="00721FE6"/>
    <w:rsid w:val="007227E2"/>
    <w:rsid w:val="00723CE2"/>
    <w:rsid w:val="007245C6"/>
    <w:rsid w:val="00725BBF"/>
    <w:rsid w:val="007271A0"/>
    <w:rsid w:val="00731B57"/>
    <w:rsid w:val="00734935"/>
    <w:rsid w:val="0073666C"/>
    <w:rsid w:val="007369FE"/>
    <w:rsid w:val="007406C1"/>
    <w:rsid w:val="007444CE"/>
    <w:rsid w:val="00745EDB"/>
    <w:rsid w:val="0075081A"/>
    <w:rsid w:val="007510C5"/>
    <w:rsid w:val="007510CB"/>
    <w:rsid w:val="007517C6"/>
    <w:rsid w:val="00752008"/>
    <w:rsid w:val="0075203E"/>
    <w:rsid w:val="0075205B"/>
    <w:rsid w:val="00752675"/>
    <w:rsid w:val="00754363"/>
    <w:rsid w:val="00754DB1"/>
    <w:rsid w:val="0075517F"/>
    <w:rsid w:val="007608C9"/>
    <w:rsid w:val="00760F92"/>
    <w:rsid w:val="007613E1"/>
    <w:rsid w:val="00764740"/>
    <w:rsid w:val="00765025"/>
    <w:rsid w:val="00765576"/>
    <w:rsid w:val="00767956"/>
    <w:rsid w:val="00770E5C"/>
    <w:rsid w:val="00770EB0"/>
    <w:rsid w:val="00771326"/>
    <w:rsid w:val="00771362"/>
    <w:rsid w:val="007725CB"/>
    <w:rsid w:val="00772BB6"/>
    <w:rsid w:val="00773444"/>
    <w:rsid w:val="00773B62"/>
    <w:rsid w:val="0077591C"/>
    <w:rsid w:val="00775AA7"/>
    <w:rsid w:val="00775B8F"/>
    <w:rsid w:val="00775EBC"/>
    <w:rsid w:val="007766D2"/>
    <w:rsid w:val="00776B56"/>
    <w:rsid w:val="00776D3F"/>
    <w:rsid w:val="00780394"/>
    <w:rsid w:val="00780498"/>
    <w:rsid w:val="00783BE7"/>
    <w:rsid w:val="00785C22"/>
    <w:rsid w:val="00785E50"/>
    <w:rsid w:val="00786A70"/>
    <w:rsid w:val="00786B6D"/>
    <w:rsid w:val="0078777D"/>
    <w:rsid w:val="00787B8F"/>
    <w:rsid w:val="00787CB0"/>
    <w:rsid w:val="00790239"/>
    <w:rsid w:val="007904CB"/>
    <w:rsid w:val="00790633"/>
    <w:rsid w:val="00790951"/>
    <w:rsid w:val="00791153"/>
    <w:rsid w:val="0079171A"/>
    <w:rsid w:val="00791995"/>
    <w:rsid w:val="00795EBD"/>
    <w:rsid w:val="007973EC"/>
    <w:rsid w:val="007A0E58"/>
    <w:rsid w:val="007A1F6E"/>
    <w:rsid w:val="007A43DB"/>
    <w:rsid w:val="007A5183"/>
    <w:rsid w:val="007A7D50"/>
    <w:rsid w:val="007B0E9D"/>
    <w:rsid w:val="007B1224"/>
    <w:rsid w:val="007B2492"/>
    <w:rsid w:val="007B4A72"/>
    <w:rsid w:val="007B524A"/>
    <w:rsid w:val="007B578F"/>
    <w:rsid w:val="007B5A0D"/>
    <w:rsid w:val="007B5E0C"/>
    <w:rsid w:val="007B6919"/>
    <w:rsid w:val="007B6A0B"/>
    <w:rsid w:val="007B6BBB"/>
    <w:rsid w:val="007B777B"/>
    <w:rsid w:val="007C0206"/>
    <w:rsid w:val="007C05D0"/>
    <w:rsid w:val="007C1D1E"/>
    <w:rsid w:val="007C2A30"/>
    <w:rsid w:val="007C2C8A"/>
    <w:rsid w:val="007C39C8"/>
    <w:rsid w:val="007C49A2"/>
    <w:rsid w:val="007C4C8E"/>
    <w:rsid w:val="007C557E"/>
    <w:rsid w:val="007C57D1"/>
    <w:rsid w:val="007C5A1E"/>
    <w:rsid w:val="007C5D47"/>
    <w:rsid w:val="007C646E"/>
    <w:rsid w:val="007C67D3"/>
    <w:rsid w:val="007C6CB1"/>
    <w:rsid w:val="007C71BB"/>
    <w:rsid w:val="007D30AC"/>
    <w:rsid w:val="007D3968"/>
    <w:rsid w:val="007D4ADC"/>
    <w:rsid w:val="007D4F0C"/>
    <w:rsid w:val="007D52C4"/>
    <w:rsid w:val="007D5C26"/>
    <w:rsid w:val="007D7CA5"/>
    <w:rsid w:val="007E0E7F"/>
    <w:rsid w:val="007E1883"/>
    <w:rsid w:val="007E2851"/>
    <w:rsid w:val="007E289B"/>
    <w:rsid w:val="007E295F"/>
    <w:rsid w:val="007E44D9"/>
    <w:rsid w:val="007E47F5"/>
    <w:rsid w:val="007E4F59"/>
    <w:rsid w:val="007E5B88"/>
    <w:rsid w:val="007E5BEC"/>
    <w:rsid w:val="007E658C"/>
    <w:rsid w:val="007E6965"/>
    <w:rsid w:val="007E7324"/>
    <w:rsid w:val="007F1463"/>
    <w:rsid w:val="007F1CE9"/>
    <w:rsid w:val="007F2BB3"/>
    <w:rsid w:val="007F3749"/>
    <w:rsid w:val="007F38EB"/>
    <w:rsid w:val="007F4905"/>
    <w:rsid w:val="007F5F08"/>
    <w:rsid w:val="007F67F1"/>
    <w:rsid w:val="007F6C49"/>
    <w:rsid w:val="008019B4"/>
    <w:rsid w:val="00804128"/>
    <w:rsid w:val="0080442C"/>
    <w:rsid w:val="00804F6B"/>
    <w:rsid w:val="00810045"/>
    <w:rsid w:val="008115F9"/>
    <w:rsid w:val="00811602"/>
    <w:rsid w:val="0081212F"/>
    <w:rsid w:val="00812B95"/>
    <w:rsid w:val="00813F08"/>
    <w:rsid w:val="008141E0"/>
    <w:rsid w:val="0081472D"/>
    <w:rsid w:val="008147E0"/>
    <w:rsid w:val="00814D1B"/>
    <w:rsid w:val="008155C6"/>
    <w:rsid w:val="00815708"/>
    <w:rsid w:val="00815B69"/>
    <w:rsid w:val="00816C2C"/>
    <w:rsid w:val="0082057B"/>
    <w:rsid w:val="00820658"/>
    <w:rsid w:val="00820938"/>
    <w:rsid w:val="00821001"/>
    <w:rsid w:val="00821A69"/>
    <w:rsid w:val="008228DB"/>
    <w:rsid w:val="00824C7E"/>
    <w:rsid w:val="00825465"/>
    <w:rsid w:val="00825BCB"/>
    <w:rsid w:val="00826E42"/>
    <w:rsid w:val="0082719F"/>
    <w:rsid w:val="008273C7"/>
    <w:rsid w:val="0083340E"/>
    <w:rsid w:val="0083361F"/>
    <w:rsid w:val="008341FF"/>
    <w:rsid w:val="00834E28"/>
    <w:rsid w:val="00836BC4"/>
    <w:rsid w:val="00841032"/>
    <w:rsid w:val="00843A21"/>
    <w:rsid w:val="00843BD7"/>
    <w:rsid w:val="00844AAB"/>
    <w:rsid w:val="00845093"/>
    <w:rsid w:val="008454D5"/>
    <w:rsid w:val="008456E6"/>
    <w:rsid w:val="00846232"/>
    <w:rsid w:val="008463C8"/>
    <w:rsid w:val="00846A6C"/>
    <w:rsid w:val="00847C4E"/>
    <w:rsid w:val="00851531"/>
    <w:rsid w:val="008534F9"/>
    <w:rsid w:val="00854B8F"/>
    <w:rsid w:val="00855069"/>
    <w:rsid w:val="00855414"/>
    <w:rsid w:val="0085594F"/>
    <w:rsid w:val="008561A5"/>
    <w:rsid w:val="008563AC"/>
    <w:rsid w:val="00857F7E"/>
    <w:rsid w:val="00860C88"/>
    <w:rsid w:val="00863934"/>
    <w:rsid w:val="0086448A"/>
    <w:rsid w:val="00870929"/>
    <w:rsid w:val="008714FA"/>
    <w:rsid w:val="00871BD8"/>
    <w:rsid w:val="00871D2B"/>
    <w:rsid w:val="00872FC1"/>
    <w:rsid w:val="0087535C"/>
    <w:rsid w:val="00875D7B"/>
    <w:rsid w:val="008762CE"/>
    <w:rsid w:val="008764CE"/>
    <w:rsid w:val="008772D8"/>
    <w:rsid w:val="0087738F"/>
    <w:rsid w:val="0088172D"/>
    <w:rsid w:val="00882C2D"/>
    <w:rsid w:val="008832EF"/>
    <w:rsid w:val="00884381"/>
    <w:rsid w:val="00884E09"/>
    <w:rsid w:val="00885D58"/>
    <w:rsid w:val="008900B9"/>
    <w:rsid w:val="00890F91"/>
    <w:rsid w:val="00891A93"/>
    <w:rsid w:val="008934C3"/>
    <w:rsid w:val="00893E39"/>
    <w:rsid w:val="0089517D"/>
    <w:rsid w:val="00895438"/>
    <w:rsid w:val="0089586E"/>
    <w:rsid w:val="00896C72"/>
    <w:rsid w:val="00897BAB"/>
    <w:rsid w:val="008A05A3"/>
    <w:rsid w:val="008A1E1E"/>
    <w:rsid w:val="008A2D2A"/>
    <w:rsid w:val="008A3677"/>
    <w:rsid w:val="008A47A0"/>
    <w:rsid w:val="008B192E"/>
    <w:rsid w:val="008B4286"/>
    <w:rsid w:val="008B587F"/>
    <w:rsid w:val="008B5E5F"/>
    <w:rsid w:val="008B6410"/>
    <w:rsid w:val="008B6D49"/>
    <w:rsid w:val="008B79D3"/>
    <w:rsid w:val="008B7A76"/>
    <w:rsid w:val="008B7C90"/>
    <w:rsid w:val="008C04B8"/>
    <w:rsid w:val="008C06D0"/>
    <w:rsid w:val="008C1508"/>
    <w:rsid w:val="008C18F5"/>
    <w:rsid w:val="008C2BEA"/>
    <w:rsid w:val="008C3129"/>
    <w:rsid w:val="008C3420"/>
    <w:rsid w:val="008C4DEB"/>
    <w:rsid w:val="008C6F39"/>
    <w:rsid w:val="008C7EF0"/>
    <w:rsid w:val="008D091B"/>
    <w:rsid w:val="008D0E24"/>
    <w:rsid w:val="008D227E"/>
    <w:rsid w:val="008D24A9"/>
    <w:rsid w:val="008D3DAD"/>
    <w:rsid w:val="008D49F0"/>
    <w:rsid w:val="008D4AD8"/>
    <w:rsid w:val="008D5EDB"/>
    <w:rsid w:val="008D74F5"/>
    <w:rsid w:val="008D7EA1"/>
    <w:rsid w:val="008E014A"/>
    <w:rsid w:val="008E04CB"/>
    <w:rsid w:val="008E2AFA"/>
    <w:rsid w:val="008E414F"/>
    <w:rsid w:val="008E41FC"/>
    <w:rsid w:val="008E4328"/>
    <w:rsid w:val="008E5090"/>
    <w:rsid w:val="008E5AE5"/>
    <w:rsid w:val="008E60A9"/>
    <w:rsid w:val="008E6FF6"/>
    <w:rsid w:val="008E7723"/>
    <w:rsid w:val="008E784D"/>
    <w:rsid w:val="008E7FF2"/>
    <w:rsid w:val="008F09E5"/>
    <w:rsid w:val="008F34CE"/>
    <w:rsid w:val="008F416E"/>
    <w:rsid w:val="008F4F5B"/>
    <w:rsid w:val="008F50C4"/>
    <w:rsid w:val="008F6B31"/>
    <w:rsid w:val="008F7340"/>
    <w:rsid w:val="008F75C4"/>
    <w:rsid w:val="008F7A28"/>
    <w:rsid w:val="008F7DA4"/>
    <w:rsid w:val="00902022"/>
    <w:rsid w:val="00903772"/>
    <w:rsid w:val="00905736"/>
    <w:rsid w:val="00905F81"/>
    <w:rsid w:val="00906687"/>
    <w:rsid w:val="00906752"/>
    <w:rsid w:val="009068B0"/>
    <w:rsid w:val="00910259"/>
    <w:rsid w:val="0091039D"/>
    <w:rsid w:val="00911BF5"/>
    <w:rsid w:val="0091480E"/>
    <w:rsid w:val="00914C72"/>
    <w:rsid w:val="00914EA2"/>
    <w:rsid w:val="009176E5"/>
    <w:rsid w:val="0092029F"/>
    <w:rsid w:val="00921209"/>
    <w:rsid w:val="009221B4"/>
    <w:rsid w:val="00922B5F"/>
    <w:rsid w:val="00922D8A"/>
    <w:rsid w:val="00923CA0"/>
    <w:rsid w:val="00923E77"/>
    <w:rsid w:val="00924C05"/>
    <w:rsid w:val="00925567"/>
    <w:rsid w:val="009261DF"/>
    <w:rsid w:val="00926D6E"/>
    <w:rsid w:val="00927B3F"/>
    <w:rsid w:val="00930E44"/>
    <w:rsid w:val="00931523"/>
    <w:rsid w:val="00931A86"/>
    <w:rsid w:val="00932AD3"/>
    <w:rsid w:val="00933621"/>
    <w:rsid w:val="00933DE3"/>
    <w:rsid w:val="00935B7D"/>
    <w:rsid w:val="009363EE"/>
    <w:rsid w:val="00936879"/>
    <w:rsid w:val="00936A75"/>
    <w:rsid w:val="00937103"/>
    <w:rsid w:val="009373C4"/>
    <w:rsid w:val="00937A37"/>
    <w:rsid w:val="00940758"/>
    <w:rsid w:val="009428A6"/>
    <w:rsid w:val="00943DC1"/>
    <w:rsid w:val="009447FB"/>
    <w:rsid w:val="00947ABD"/>
    <w:rsid w:val="00950392"/>
    <w:rsid w:val="009514E7"/>
    <w:rsid w:val="009518D0"/>
    <w:rsid w:val="00952045"/>
    <w:rsid w:val="00952523"/>
    <w:rsid w:val="00953085"/>
    <w:rsid w:val="00953B4B"/>
    <w:rsid w:val="0095463E"/>
    <w:rsid w:val="00954822"/>
    <w:rsid w:val="009553ED"/>
    <w:rsid w:val="0095575C"/>
    <w:rsid w:val="00956147"/>
    <w:rsid w:val="00956622"/>
    <w:rsid w:val="00956B27"/>
    <w:rsid w:val="009574C7"/>
    <w:rsid w:val="009578CF"/>
    <w:rsid w:val="00957F4D"/>
    <w:rsid w:val="00957F77"/>
    <w:rsid w:val="00961522"/>
    <w:rsid w:val="00961AEE"/>
    <w:rsid w:val="00962F89"/>
    <w:rsid w:val="0096304A"/>
    <w:rsid w:val="009632C8"/>
    <w:rsid w:val="00963420"/>
    <w:rsid w:val="009645D2"/>
    <w:rsid w:val="00964A49"/>
    <w:rsid w:val="00966DF7"/>
    <w:rsid w:val="0096716D"/>
    <w:rsid w:val="009676F9"/>
    <w:rsid w:val="00967DE4"/>
    <w:rsid w:val="009702E1"/>
    <w:rsid w:val="009712DA"/>
    <w:rsid w:val="00971433"/>
    <w:rsid w:val="009732B7"/>
    <w:rsid w:val="00974365"/>
    <w:rsid w:val="009750CB"/>
    <w:rsid w:val="00975EAB"/>
    <w:rsid w:val="00975F39"/>
    <w:rsid w:val="009766F8"/>
    <w:rsid w:val="00976C51"/>
    <w:rsid w:val="00977C63"/>
    <w:rsid w:val="009800DA"/>
    <w:rsid w:val="00980608"/>
    <w:rsid w:val="00983768"/>
    <w:rsid w:val="009848FB"/>
    <w:rsid w:val="00984CDA"/>
    <w:rsid w:val="00986E91"/>
    <w:rsid w:val="0099251E"/>
    <w:rsid w:val="00992987"/>
    <w:rsid w:val="009946A3"/>
    <w:rsid w:val="00994B2A"/>
    <w:rsid w:val="00994E82"/>
    <w:rsid w:val="00995071"/>
    <w:rsid w:val="00995DEF"/>
    <w:rsid w:val="00997FEC"/>
    <w:rsid w:val="009A1DCF"/>
    <w:rsid w:val="009A3C91"/>
    <w:rsid w:val="009A412B"/>
    <w:rsid w:val="009A41E0"/>
    <w:rsid w:val="009A53FE"/>
    <w:rsid w:val="009A5BED"/>
    <w:rsid w:val="009A637B"/>
    <w:rsid w:val="009A7DF7"/>
    <w:rsid w:val="009B102E"/>
    <w:rsid w:val="009B1053"/>
    <w:rsid w:val="009B194B"/>
    <w:rsid w:val="009B2EA0"/>
    <w:rsid w:val="009B492D"/>
    <w:rsid w:val="009B4B62"/>
    <w:rsid w:val="009B4F7C"/>
    <w:rsid w:val="009B5300"/>
    <w:rsid w:val="009B5945"/>
    <w:rsid w:val="009B6A20"/>
    <w:rsid w:val="009B7CFC"/>
    <w:rsid w:val="009C0245"/>
    <w:rsid w:val="009C1275"/>
    <w:rsid w:val="009C1B9A"/>
    <w:rsid w:val="009C1C17"/>
    <w:rsid w:val="009C29E2"/>
    <w:rsid w:val="009C36CC"/>
    <w:rsid w:val="009C3BCC"/>
    <w:rsid w:val="009C41F6"/>
    <w:rsid w:val="009C4AA0"/>
    <w:rsid w:val="009C5A5C"/>
    <w:rsid w:val="009C63D8"/>
    <w:rsid w:val="009D0ADF"/>
    <w:rsid w:val="009D27B1"/>
    <w:rsid w:val="009D2D8D"/>
    <w:rsid w:val="009D4929"/>
    <w:rsid w:val="009D6FD6"/>
    <w:rsid w:val="009E003E"/>
    <w:rsid w:val="009E125E"/>
    <w:rsid w:val="009E128D"/>
    <w:rsid w:val="009E1386"/>
    <w:rsid w:val="009E1E37"/>
    <w:rsid w:val="009E291F"/>
    <w:rsid w:val="009E29AF"/>
    <w:rsid w:val="009E49D0"/>
    <w:rsid w:val="009E4A69"/>
    <w:rsid w:val="009E4D24"/>
    <w:rsid w:val="009E51D5"/>
    <w:rsid w:val="009E5EAD"/>
    <w:rsid w:val="009E6DC0"/>
    <w:rsid w:val="009E6DF3"/>
    <w:rsid w:val="009E7A10"/>
    <w:rsid w:val="009F12CD"/>
    <w:rsid w:val="009F1DCE"/>
    <w:rsid w:val="009F24DE"/>
    <w:rsid w:val="009F5AC5"/>
    <w:rsid w:val="009F5D35"/>
    <w:rsid w:val="009F609C"/>
    <w:rsid w:val="009F6747"/>
    <w:rsid w:val="009F6BB3"/>
    <w:rsid w:val="009F76A9"/>
    <w:rsid w:val="009F79C1"/>
    <w:rsid w:val="009F7E67"/>
    <w:rsid w:val="00A00AA7"/>
    <w:rsid w:val="00A0196E"/>
    <w:rsid w:val="00A02D12"/>
    <w:rsid w:val="00A031F9"/>
    <w:rsid w:val="00A03255"/>
    <w:rsid w:val="00A034F8"/>
    <w:rsid w:val="00A03C50"/>
    <w:rsid w:val="00A05F00"/>
    <w:rsid w:val="00A06120"/>
    <w:rsid w:val="00A0620B"/>
    <w:rsid w:val="00A06CC7"/>
    <w:rsid w:val="00A06E5C"/>
    <w:rsid w:val="00A06EC9"/>
    <w:rsid w:val="00A06F13"/>
    <w:rsid w:val="00A117B1"/>
    <w:rsid w:val="00A12277"/>
    <w:rsid w:val="00A1548D"/>
    <w:rsid w:val="00A15E35"/>
    <w:rsid w:val="00A15E77"/>
    <w:rsid w:val="00A1674D"/>
    <w:rsid w:val="00A1724D"/>
    <w:rsid w:val="00A17414"/>
    <w:rsid w:val="00A20741"/>
    <w:rsid w:val="00A20EDD"/>
    <w:rsid w:val="00A213B9"/>
    <w:rsid w:val="00A22FFE"/>
    <w:rsid w:val="00A230FC"/>
    <w:rsid w:val="00A24349"/>
    <w:rsid w:val="00A25D55"/>
    <w:rsid w:val="00A26AE9"/>
    <w:rsid w:val="00A2742E"/>
    <w:rsid w:val="00A27C31"/>
    <w:rsid w:val="00A30E42"/>
    <w:rsid w:val="00A33660"/>
    <w:rsid w:val="00A349E3"/>
    <w:rsid w:val="00A364AA"/>
    <w:rsid w:val="00A36F12"/>
    <w:rsid w:val="00A37830"/>
    <w:rsid w:val="00A378D7"/>
    <w:rsid w:val="00A40370"/>
    <w:rsid w:val="00A406A0"/>
    <w:rsid w:val="00A40FE3"/>
    <w:rsid w:val="00A415C4"/>
    <w:rsid w:val="00A42D44"/>
    <w:rsid w:val="00A430A7"/>
    <w:rsid w:val="00A44A58"/>
    <w:rsid w:val="00A4514A"/>
    <w:rsid w:val="00A460BD"/>
    <w:rsid w:val="00A4619D"/>
    <w:rsid w:val="00A464DC"/>
    <w:rsid w:val="00A46832"/>
    <w:rsid w:val="00A50EE9"/>
    <w:rsid w:val="00A52C70"/>
    <w:rsid w:val="00A52CB0"/>
    <w:rsid w:val="00A52D17"/>
    <w:rsid w:val="00A55BAB"/>
    <w:rsid w:val="00A60D2A"/>
    <w:rsid w:val="00A60E09"/>
    <w:rsid w:val="00A61DED"/>
    <w:rsid w:val="00A61FDB"/>
    <w:rsid w:val="00A623B7"/>
    <w:rsid w:val="00A62A95"/>
    <w:rsid w:val="00A63312"/>
    <w:rsid w:val="00A70D16"/>
    <w:rsid w:val="00A71B2C"/>
    <w:rsid w:val="00A71FA9"/>
    <w:rsid w:val="00A72666"/>
    <w:rsid w:val="00A7453F"/>
    <w:rsid w:val="00A7491C"/>
    <w:rsid w:val="00A74B92"/>
    <w:rsid w:val="00A74E69"/>
    <w:rsid w:val="00A751F1"/>
    <w:rsid w:val="00A75E08"/>
    <w:rsid w:val="00A76636"/>
    <w:rsid w:val="00A77060"/>
    <w:rsid w:val="00A8098F"/>
    <w:rsid w:val="00A80D23"/>
    <w:rsid w:val="00A811E5"/>
    <w:rsid w:val="00A816AF"/>
    <w:rsid w:val="00A81BE0"/>
    <w:rsid w:val="00A8236D"/>
    <w:rsid w:val="00A824E3"/>
    <w:rsid w:val="00A82CA3"/>
    <w:rsid w:val="00A82F48"/>
    <w:rsid w:val="00A83F01"/>
    <w:rsid w:val="00A8475D"/>
    <w:rsid w:val="00A85596"/>
    <w:rsid w:val="00A85B00"/>
    <w:rsid w:val="00A85BA7"/>
    <w:rsid w:val="00A8661C"/>
    <w:rsid w:val="00A86AEE"/>
    <w:rsid w:val="00A901A1"/>
    <w:rsid w:val="00A92429"/>
    <w:rsid w:val="00A92AD0"/>
    <w:rsid w:val="00A9304F"/>
    <w:rsid w:val="00A9374F"/>
    <w:rsid w:val="00A94982"/>
    <w:rsid w:val="00A97819"/>
    <w:rsid w:val="00A97CC4"/>
    <w:rsid w:val="00AA0C27"/>
    <w:rsid w:val="00AA0D01"/>
    <w:rsid w:val="00AA1100"/>
    <w:rsid w:val="00AA1D8F"/>
    <w:rsid w:val="00AA1F22"/>
    <w:rsid w:val="00AA4704"/>
    <w:rsid w:val="00AA4A7A"/>
    <w:rsid w:val="00AA4AB1"/>
    <w:rsid w:val="00AA50A1"/>
    <w:rsid w:val="00AA6C1B"/>
    <w:rsid w:val="00AA7485"/>
    <w:rsid w:val="00AA7530"/>
    <w:rsid w:val="00AB00AC"/>
    <w:rsid w:val="00AB0312"/>
    <w:rsid w:val="00AB0EB4"/>
    <w:rsid w:val="00AB1AE0"/>
    <w:rsid w:val="00AB1CE6"/>
    <w:rsid w:val="00AB2206"/>
    <w:rsid w:val="00AB24E2"/>
    <w:rsid w:val="00AB2722"/>
    <w:rsid w:val="00AB3400"/>
    <w:rsid w:val="00AB3E73"/>
    <w:rsid w:val="00AB4111"/>
    <w:rsid w:val="00AB429C"/>
    <w:rsid w:val="00AB4C0D"/>
    <w:rsid w:val="00AB51C4"/>
    <w:rsid w:val="00AB67FA"/>
    <w:rsid w:val="00AB6AC9"/>
    <w:rsid w:val="00AB7BD8"/>
    <w:rsid w:val="00AC07BB"/>
    <w:rsid w:val="00AC2753"/>
    <w:rsid w:val="00AC28F0"/>
    <w:rsid w:val="00AC2A89"/>
    <w:rsid w:val="00AC2CE7"/>
    <w:rsid w:val="00AC3433"/>
    <w:rsid w:val="00AC3F90"/>
    <w:rsid w:val="00AC4ACD"/>
    <w:rsid w:val="00AC5293"/>
    <w:rsid w:val="00AC6C45"/>
    <w:rsid w:val="00AD01F3"/>
    <w:rsid w:val="00AD02AA"/>
    <w:rsid w:val="00AD03E6"/>
    <w:rsid w:val="00AD0411"/>
    <w:rsid w:val="00AD0709"/>
    <w:rsid w:val="00AD150E"/>
    <w:rsid w:val="00AD1ADB"/>
    <w:rsid w:val="00AE0F9C"/>
    <w:rsid w:val="00AE14D7"/>
    <w:rsid w:val="00AE1C74"/>
    <w:rsid w:val="00AE2E09"/>
    <w:rsid w:val="00AE336B"/>
    <w:rsid w:val="00AE43FC"/>
    <w:rsid w:val="00AE5433"/>
    <w:rsid w:val="00AE546F"/>
    <w:rsid w:val="00AE7B1E"/>
    <w:rsid w:val="00AF0130"/>
    <w:rsid w:val="00AF05F8"/>
    <w:rsid w:val="00AF32CE"/>
    <w:rsid w:val="00AF3848"/>
    <w:rsid w:val="00AF53F9"/>
    <w:rsid w:val="00AF5651"/>
    <w:rsid w:val="00AF58FE"/>
    <w:rsid w:val="00AF7ABE"/>
    <w:rsid w:val="00B003DE"/>
    <w:rsid w:val="00B008BD"/>
    <w:rsid w:val="00B00D75"/>
    <w:rsid w:val="00B00DC7"/>
    <w:rsid w:val="00B01BD4"/>
    <w:rsid w:val="00B03FBC"/>
    <w:rsid w:val="00B04749"/>
    <w:rsid w:val="00B05783"/>
    <w:rsid w:val="00B070DB"/>
    <w:rsid w:val="00B075D8"/>
    <w:rsid w:val="00B104BA"/>
    <w:rsid w:val="00B1052C"/>
    <w:rsid w:val="00B10CFC"/>
    <w:rsid w:val="00B11004"/>
    <w:rsid w:val="00B1181B"/>
    <w:rsid w:val="00B13E12"/>
    <w:rsid w:val="00B1481D"/>
    <w:rsid w:val="00B15F47"/>
    <w:rsid w:val="00B1730F"/>
    <w:rsid w:val="00B1733B"/>
    <w:rsid w:val="00B17BF5"/>
    <w:rsid w:val="00B22DCA"/>
    <w:rsid w:val="00B231CF"/>
    <w:rsid w:val="00B2373B"/>
    <w:rsid w:val="00B254C1"/>
    <w:rsid w:val="00B262DF"/>
    <w:rsid w:val="00B27790"/>
    <w:rsid w:val="00B27EF0"/>
    <w:rsid w:val="00B30151"/>
    <w:rsid w:val="00B306A9"/>
    <w:rsid w:val="00B30F0E"/>
    <w:rsid w:val="00B32BDC"/>
    <w:rsid w:val="00B333BC"/>
    <w:rsid w:val="00B33945"/>
    <w:rsid w:val="00B35AC5"/>
    <w:rsid w:val="00B369E3"/>
    <w:rsid w:val="00B3787D"/>
    <w:rsid w:val="00B4053C"/>
    <w:rsid w:val="00B40FBA"/>
    <w:rsid w:val="00B41701"/>
    <w:rsid w:val="00B41E94"/>
    <w:rsid w:val="00B42BBC"/>
    <w:rsid w:val="00B42EEF"/>
    <w:rsid w:val="00B431B7"/>
    <w:rsid w:val="00B43F52"/>
    <w:rsid w:val="00B465CA"/>
    <w:rsid w:val="00B46E58"/>
    <w:rsid w:val="00B46FA0"/>
    <w:rsid w:val="00B4771A"/>
    <w:rsid w:val="00B50384"/>
    <w:rsid w:val="00B51405"/>
    <w:rsid w:val="00B537FD"/>
    <w:rsid w:val="00B53AF9"/>
    <w:rsid w:val="00B53CE9"/>
    <w:rsid w:val="00B53E40"/>
    <w:rsid w:val="00B541E3"/>
    <w:rsid w:val="00B5455F"/>
    <w:rsid w:val="00B545FC"/>
    <w:rsid w:val="00B54805"/>
    <w:rsid w:val="00B56285"/>
    <w:rsid w:val="00B56684"/>
    <w:rsid w:val="00B57C3D"/>
    <w:rsid w:val="00B61810"/>
    <w:rsid w:val="00B61899"/>
    <w:rsid w:val="00B62511"/>
    <w:rsid w:val="00B6282C"/>
    <w:rsid w:val="00B62AB1"/>
    <w:rsid w:val="00B63584"/>
    <w:rsid w:val="00B63769"/>
    <w:rsid w:val="00B64385"/>
    <w:rsid w:val="00B64835"/>
    <w:rsid w:val="00B65859"/>
    <w:rsid w:val="00B66853"/>
    <w:rsid w:val="00B67794"/>
    <w:rsid w:val="00B67C35"/>
    <w:rsid w:val="00B67E94"/>
    <w:rsid w:val="00B70366"/>
    <w:rsid w:val="00B70A53"/>
    <w:rsid w:val="00B72736"/>
    <w:rsid w:val="00B7311B"/>
    <w:rsid w:val="00B749A8"/>
    <w:rsid w:val="00B75343"/>
    <w:rsid w:val="00B754A7"/>
    <w:rsid w:val="00B7754C"/>
    <w:rsid w:val="00B778A0"/>
    <w:rsid w:val="00B77906"/>
    <w:rsid w:val="00B802DE"/>
    <w:rsid w:val="00B80EE8"/>
    <w:rsid w:val="00B81821"/>
    <w:rsid w:val="00B81F5D"/>
    <w:rsid w:val="00B82783"/>
    <w:rsid w:val="00B828C2"/>
    <w:rsid w:val="00B8557B"/>
    <w:rsid w:val="00B85E45"/>
    <w:rsid w:val="00B863F2"/>
    <w:rsid w:val="00B864B2"/>
    <w:rsid w:val="00B86889"/>
    <w:rsid w:val="00B905CD"/>
    <w:rsid w:val="00B9099C"/>
    <w:rsid w:val="00B928BD"/>
    <w:rsid w:val="00B9620D"/>
    <w:rsid w:val="00B9626C"/>
    <w:rsid w:val="00B964B9"/>
    <w:rsid w:val="00B96D30"/>
    <w:rsid w:val="00B971A7"/>
    <w:rsid w:val="00B97BF2"/>
    <w:rsid w:val="00BA0AFD"/>
    <w:rsid w:val="00BA0B1F"/>
    <w:rsid w:val="00BA35C9"/>
    <w:rsid w:val="00BA43C3"/>
    <w:rsid w:val="00BA44D8"/>
    <w:rsid w:val="00BA6EF3"/>
    <w:rsid w:val="00BA7218"/>
    <w:rsid w:val="00BB08B5"/>
    <w:rsid w:val="00BB0AE6"/>
    <w:rsid w:val="00BB0D66"/>
    <w:rsid w:val="00BB0F47"/>
    <w:rsid w:val="00BB2849"/>
    <w:rsid w:val="00BB4D96"/>
    <w:rsid w:val="00BB6BFC"/>
    <w:rsid w:val="00BB6F0D"/>
    <w:rsid w:val="00BC0A4A"/>
    <w:rsid w:val="00BC1097"/>
    <w:rsid w:val="00BC2D39"/>
    <w:rsid w:val="00BC3C5E"/>
    <w:rsid w:val="00BC3DE8"/>
    <w:rsid w:val="00BC45A6"/>
    <w:rsid w:val="00BC5B88"/>
    <w:rsid w:val="00BC7129"/>
    <w:rsid w:val="00BD198E"/>
    <w:rsid w:val="00BD1F5C"/>
    <w:rsid w:val="00BD26BF"/>
    <w:rsid w:val="00BD2C9E"/>
    <w:rsid w:val="00BD3457"/>
    <w:rsid w:val="00BD46A0"/>
    <w:rsid w:val="00BD7B0C"/>
    <w:rsid w:val="00BD7B39"/>
    <w:rsid w:val="00BD7BF2"/>
    <w:rsid w:val="00BD7C63"/>
    <w:rsid w:val="00BE0FC2"/>
    <w:rsid w:val="00BE0FE6"/>
    <w:rsid w:val="00BE1D51"/>
    <w:rsid w:val="00BE2E79"/>
    <w:rsid w:val="00BE32D3"/>
    <w:rsid w:val="00BE3BEE"/>
    <w:rsid w:val="00BE3FA4"/>
    <w:rsid w:val="00BE4E94"/>
    <w:rsid w:val="00BE507C"/>
    <w:rsid w:val="00BE7DE5"/>
    <w:rsid w:val="00BE7F82"/>
    <w:rsid w:val="00BF077C"/>
    <w:rsid w:val="00BF0AFC"/>
    <w:rsid w:val="00BF0D30"/>
    <w:rsid w:val="00BF1B32"/>
    <w:rsid w:val="00BF2C16"/>
    <w:rsid w:val="00BF47E2"/>
    <w:rsid w:val="00BF59D1"/>
    <w:rsid w:val="00BF6FC6"/>
    <w:rsid w:val="00BF73A9"/>
    <w:rsid w:val="00BF798A"/>
    <w:rsid w:val="00C00EE6"/>
    <w:rsid w:val="00C0126B"/>
    <w:rsid w:val="00C01F9D"/>
    <w:rsid w:val="00C0218A"/>
    <w:rsid w:val="00C02589"/>
    <w:rsid w:val="00C03132"/>
    <w:rsid w:val="00C041A7"/>
    <w:rsid w:val="00C0422D"/>
    <w:rsid w:val="00C04A4F"/>
    <w:rsid w:val="00C04FC5"/>
    <w:rsid w:val="00C0526E"/>
    <w:rsid w:val="00C05960"/>
    <w:rsid w:val="00C05C7A"/>
    <w:rsid w:val="00C05F51"/>
    <w:rsid w:val="00C067BF"/>
    <w:rsid w:val="00C104E2"/>
    <w:rsid w:val="00C10B67"/>
    <w:rsid w:val="00C12173"/>
    <w:rsid w:val="00C121A9"/>
    <w:rsid w:val="00C12305"/>
    <w:rsid w:val="00C123E4"/>
    <w:rsid w:val="00C1270E"/>
    <w:rsid w:val="00C12D5D"/>
    <w:rsid w:val="00C12E65"/>
    <w:rsid w:val="00C14ACA"/>
    <w:rsid w:val="00C15233"/>
    <w:rsid w:val="00C1568B"/>
    <w:rsid w:val="00C17563"/>
    <w:rsid w:val="00C202AF"/>
    <w:rsid w:val="00C20C61"/>
    <w:rsid w:val="00C21016"/>
    <w:rsid w:val="00C21ED5"/>
    <w:rsid w:val="00C23121"/>
    <w:rsid w:val="00C23135"/>
    <w:rsid w:val="00C23848"/>
    <w:rsid w:val="00C2398B"/>
    <w:rsid w:val="00C23D97"/>
    <w:rsid w:val="00C24248"/>
    <w:rsid w:val="00C26BEE"/>
    <w:rsid w:val="00C279AA"/>
    <w:rsid w:val="00C27F1A"/>
    <w:rsid w:val="00C27FFC"/>
    <w:rsid w:val="00C30A4F"/>
    <w:rsid w:val="00C31251"/>
    <w:rsid w:val="00C316E9"/>
    <w:rsid w:val="00C32358"/>
    <w:rsid w:val="00C33EA9"/>
    <w:rsid w:val="00C34B25"/>
    <w:rsid w:val="00C36505"/>
    <w:rsid w:val="00C4027E"/>
    <w:rsid w:val="00C40E74"/>
    <w:rsid w:val="00C41236"/>
    <w:rsid w:val="00C41B41"/>
    <w:rsid w:val="00C420B5"/>
    <w:rsid w:val="00C423CB"/>
    <w:rsid w:val="00C42E22"/>
    <w:rsid w:val="00C42EC1"/>
    <w:rsid w:val="00C43CB3"/>
    <w:rsid w:val="00C44EE6"/>
    <w:rsid w:val="00C455E2"/>
    <w:rsid w:val="00C45854"/>
    <w:rsid w:val="00C4647B"/>
    <w:rsid w:val="00C46806"/>
    <w:rsid w:val="00C47813"/>
    <w:rsid w:val="00C510C7"/>
    <w:rsid w:val="00C51B99"/>
    <w:rsid w:val="00C51ECC"/>
    <w:rsid w:val="00C53207"/>
    <w:rsid w:val="00C534D4"/>
    <w:rsid w:val="00C53C90"/>
    <w:rsid w:val="00C5424F"/>
    <w:rsid w:val="00C55567"/>
    <w:rsid w:val="00C606FA"/>
    <w:rsid w:val="00C6188B"/>
    <w:rsid w:val="00C62B45"/>
    <w:rsid w:val="00C62ED4"/>
    <w:rsid w:val="00C642D4"/>
    <w:rsid w:val="00C64E89"/>
    <w:rsid w:val="00C6512A"/>
    <w:rsid w:val="00C6595D"/>
    <w:rsid w:val="00C678D3"/>
    <w:rsid w:val="00C67FA7"/>
    <w:rsid w:val="00C70988"/>
    <w:rsid w:val="00C71449"/>
    <w:rsid w:val="00C71997"/>
    <w:rsid w:val="00C730D9"/>
    <w:rsid w:val="00C73DBF"/>
    <w:rsid w:val="00C73E09"/>
    <w:rsid w:val="00C74AB4"/>
    <w:rsid w:val="00C75D86"/>
    <w:rsid w:val="00C75DD4"/>
    <w:rsid w:val="00C76758"/>
    <w:rsid w:val="00C76902"/>
    <w:rsid w:val="00C76E93"/>
    <w:rsid w:val="00C812FB"/>
    <w:rsid w:val="00C81359"/>
    <w:rsid w:val="00C816F1"/>
    <w:rsid w:val="00C81D92"/>
    <w:rsid w:val="00C82912"/>
    <w:rsid w:val="00C85CD0"/>
    <w:rsid w:val="00C85EF4"/>
    <w:rsid w:val="00C8722E"/>
    <w:rsid w:val="00C901F8"/>
    <w:rsid w:val="00C905EB"/>
    <w:rsid w:val="00C92403"/>
    <w:rsid w:val="00C92588"/>
    <w:rsid w:val="00C92BE3"/>
    <w:rsid w:val="00C92EAD"/>
    <w:rsid w:val="00C93B45"/>
    <w:rsid w:val="00C94664"/>
    <w:rsid w:val="00C94BC4"/>
    <w:rsid w:val="00C95577"/>
    <w:rsid w:val="00C95D98"/>
    <w:rsid w:val="00C967B7"/>
    <w:rsid w:val="00C972FD"/>
    <w:rsid w:val="00CA0170"/>
    <w:rsid w:val="00CA2A90"/>
    <w:rsid w:val="00CA398E"/>
    <w:rsid w:val="00CB1118"/>
    <w:rsid w:val="00CB2479"/>
    <w:rsid w:val="00CB3583"/>
    <w:rsid w:val="00CB52B8"/>
    <w:rsid w:val="00CB573A"/>
    <w:rsid w:val="00CB5EDE"/>
    <w:rsid w:val="00CB65B7"/>
    <w:rsid w:val="00CB6FEA"/>
    <w:rsid w:val="00CB736C"/>
    <w:rsid w:val="00CB79B5"/>
    <w:rsid w:val="00CB7F7B"/>
    <w:rsid w:val="00CC134B"/>
    <w:rsid w:val="00CC1FD8"/>
    <w:rsid w:val="00CC4471"/>
    <w:rsid w:val="00CC4B99"/>
    <w:rsid w:val="00CC6151"/>
    <w:rsid w:val="00CC6F7E"/>
    <w:rsid w:val="00CC7009"/>
    <w:rsid w:val="00CC755C"/>
    <w:rsid w:val="00CC7854"/>
    <w:rsid w:val="00CD09DA"/>
    <w:rsid w:val="00CD1062"/>
    <w:rsid w:val="00CD14B8"/>
    <w:rsid w:val="00CD17C6"/>
    <w:rsid w:val="00CD190F"/>
    <w:rsid w:val="00CD1C25"/>
    <w:rsid w:val="00CD1D70"/>
    <w:rsid w:val="00CD380E"/>
    <w:rsid w:val="00CD4810"/>
    <w:rsid w:val="00CD493B"/>
    <w:rsid w:val="00CD69BF"/>
    <w:rsid w:val="00CD7AD0"/>
    <w:rsid w:val="00CD7CDA"/>
    <w:rsid w:val="00CE06C9"/>
    <w:rsid w:val="00CE0BC6"/>
    <w:rsid w:val="00CE232F"/>
    <w:rsid w:val="00CE257C"/>
    <w:rsid w:val="00CE2FB2"/>
    <w:rsid w:val="00CE528B"/>
    <w:rsid w:val="00CE5AB8"/>
    <w:rsid w:val="00CE5B87"/>
    <w:rsid w:val="00CF052F"/>
    <w:rsid w:val="00CF0F4B"/>
    <w:rsid w:val="00CF11AE"/>
    <w:rsid w:val="00CF1D61"/>
    <w:rsid w:val="00CF225A"/>
    <w:rsid w:val="00CF2922"/>
    <w:rsid w:val="00CF2AB3"/>
    <w:rsid w:val="00CF2BC3"/>
    <w:rsid w:val="00CF4602"/>
    <w:rsid w:val="00CF5518"/>
    <w:rsid w:val="00CF5FC3"/>
    <w:rsid w:val="00CF60E7"/>
    <w:rsid w:val="00CF6EE3"/>
    <w:rsid w:val="00CF7E0D"/>
    <w:rsid w:val="00D0006B"/>
    <w:rsid w:val="00D01BE1"/>
    <w:rsid w:val="00D02196"/>
    <w:rsid w:val="00D03CFA"/>
    <w:rsid w:val="00D0591D"/>
    <w:rsid w:val="00D06E98"/>
    <w:rsid w:val="00D07EC2"/>
    <w:rsid w:val="00D11044"/>
    <w:rsid w:val="00D11989"/>
    <w:rsid w:val="00D1379D"/>
    <w:rsid w:val="00D13D59"/>
    <w:rsid w:val="00D13E27"/>
    <w:rsid w:val="00D154FF"/>
    <w:rsid w:val="00D15D14"/>
    <w:rsid w:val="00D17DFD"/>
    <w:rsid w:val="00D17F7E"/>
    <w:rsid w:val="00D201A8"/>
    <w:rsid w:val="00D21900"/>
    <w:rsid w:val="00D2212D"/>
    <w:rsid w:val="00D22B63"/>
    <w:rsid w:val="00D23EB5"/>
    <w:rsid w:val="00D24E8A"/>
    <w:rsid w:val="00D25A2E"/>
    <w:rsid w:val="00D27775"/>
    <w:rsid w:val="00D31417"/>
    <w:rsid w:val="00D32638"/>
    <w:rsid w:val="00D33161"/>
    <w:rsid w:val="00D33749"/>
    <w:rsid w:val="00D33A3C"/>
    <w:rsid w:val="00D34DF0"/>
    <w:rsid w:val="00D34EC2"/>
    <w:rsid w:val="00D35A3E"/>
    <w:rsid w:val="00D40828"/>
    <w:rsid w:val="00D417E1"/>
    <w:rsid w:val="00D42B86"/>
    <w:rsid w:val="00D42EA0"/>
    <w:rsid w:val="00D4430D"/>
    <w:rsid w:val="00D44347"/>
    <w:rsid w:val="00D44670"/>
    <w:rsid w:val="00D4513C"/>
    <w:rsid w:val="00D45B4F"/>
    <w:rsid w:val="00D462F6"/>
    <w:rsid w:val="00D46FF3"/>
    <w:rsid w:val="00D47AE2"/>
    <w:rsid w:val="00D50120"/>
    <w:rsid w:val="00D5012D"/>
    <w:rsid w:val="00D508A3"/>
    <w:rsid w:val="00D50EBD"/>
    <w:rsid w:val="00D50F41"/>
    <w:rsid w:val="00D53AB1"/>
    <w:rsid w:val="00D53DE9"/>
    <w:rsid w:val="00D5466B"/>
    <w:rsid w:val="00D5515B"/>
    <w:rsid w:val="00D55F6C"/>
    <w:rsid w:val="00D56193"/>
    <w:rsid w:val="00D564ED"/>
    <w:rsid w:val="00D56605"/>
    <w:rsid w:val="00D5674F"/>
    <w:rsid w:val="00D6001F"/>
    <w:rsid w:val="00D609D1"/>
    <w:rsid w:val="00D612D0"/>
    <w:rsid w:val="00D61927"/>
    <w:rsid w:val="00D623CE"/>
    <w:rsid w:val="00D625C0"/>
    <w:rsid w:val="00D64CA0"/>
    <w:rsid w:val="00D65024"/>
    <w:rsid w:val="00D653B0"/>
    <w:rsid w:val="00D670FC"/>
    <w:rsid w:val="00D70179"/>
    <w:rsid w:val="00D71391"/>
    <w:rsid w:val="00D723C6"/>
    <w:rsid w:val="00D72806"/>
    <w:rsid w:val="00D731F3"/>
    <w:rsid w:val="00D7328F"/>
    <w:rsid w:val="00D74146"/>
    <w:rsid w:val="00D74350"/>
    <w:rsid w:val="00D75EDC"/>
    <w:rsid w:val="00D766AA"/>
    <w:rsid w:val="00D76A51"/>
    <w:rsid w:val="00D778BB"/>
    <w:rsid w:val="00D77E5F"/>
    <w:rsid w:val="00D8111C"/>
    <w:rsid w:val="00D82E09"/>
    <w:rsid w:val="00D84E8E"/>
    <w:rsid w:val="00D855D1"/>
    <w:rsid w:val="00D868F3"/>
    <w:rsid w:val="00D8691D"/>
    <w:rsid w:val="00D86D25"/>
    <w:rsid w:val="00D90EF4"/>
    <w:rsid w:val="00D90FB4"/>
    <w:rsid w:val="00D910E0"/>
    <w:rsid w:val="00D91798"/>
    <w:rsid w:val="00D91E83"/>
    <w:rsid w:val="00D924FD"/>
    <w:rsid w:val="00D95263"/>
    <w:rsid w:val="00D96205"/>
    <w:rsid w:val="00D96E55"/>
    <w:rsid w:val="00DA0C9D"/>
    <w:rsid w:val="00DA0E31"/>
    <w:rsid w:val="00DA151A"/>
    <w:rsid w:val="00DA16CD"/>
    <w:rsid w:val="00DA33C8"/>
    <w:rsid w:val="00DA45BE"/>
    <w:rsid w:val="00DA5626"/>
    <w:rsid w:val="00DA5A9C"/>
    <w:rsid w:val="00DA6548"/>
    <w:rsid w:val="00DA712E"/>
    <w:rsid w:val="00DA7661"/>
    <w:rsid w:val="00DB2321"/>
    <w:rsid w:val="00DB24B4"/>
    <w:rsid w:val="00DB3773"/>
    <w:rsid w:val="00DB523C"/>
    <w:rsid w:val="00DB7DC9"/>
    <w:rsid w:val="00DC0BA5"/>
    <w:rsid w:val="00DC123A"/>
    <w:rsid w:val="00DC1C78"/>
    <w:rsid w:val="00DC254E"/>
    <w:rsid w:val="00DC26D6"/>
    <w:rsid w:val="00DC2DC2"/>
    <w:rsid w:val="00DC4619"/>
    <w:rsid w:val="00DC50E5"/>
    <w:rsid w:val="00DC522E"/>
    <w:rsid w:val="00DC7A73"/>
    <w:rsid w:val="00DD00CA"/>
    <w:rsid w:val="00DD0312"/>
    <w:rsid w:val="00DD07F5"/>
    <w:rsid w:val="00DD093B"/>
    <w:rsid w:val="00DD0C83"/>
    <w:rsid w:val="00DD17F0"/>
    <w:rsid w:val="00DD1EE2"/>
    <w:rsid w:val="00DD25E4"/>
    <w:rsid w:val="00DD44F6"/>
    <w:rsid w:val="00DD466B"/>
    <w:rsid w:val="00DD50F1"/>
    <w:rsid w:val="00DD5333"/>
    <w:rsid w:val="00DD5558"/>
    <w:rsid w:val="00DD5774"/>
    <w:rsid w:val="00DD6E32"/>
    <w:rsid w:val="00DD6FD6"/>
    <w:rsid w:val="00DD7D38"/>
    <w:rsid w:val="00DE02FF"/>
    <w:rsid w:val="00DE0A45"/>
    <w:rsid w:val="00DE1E07"/>
    <w:rsid w:val="00DE2B97"/>
    <w:rsid w:val="00DE305F"/>
    <w:rsid w:val="00DE358A"/>
    <w:rsid w:val="00DE40EC"/>
    <w:rsid w:val="00DE4354"/>
    <w:rsid w:val="00DE4F4E"/>
    <w:rsid w:val="00DE519F"/>
    <w:rsid w:val="00DE5352"/>
    <w:rsid w:val="00DE5450"/>
    <w:rsid w:val="00DE637B"/>
    <w:rsid w:val="00DE6623"/>
    <w:rsid w:val="00DE715B"/>
    <w:rsid w:val="00DE7417"/>
    <w:rsid w:val="00DF0DD0"/>
    <w:rsid w:val="00DF1C9B"/>
    <w:rsid w:val="00DF3213"/>
    <w:rsid w:val="00DF34F1"/>
    <w:rsid w:val="00DF3D8B"/>
    <w:rsid w:val="00DF4C3B"/>
    <w:rsid w:val="00DF51EB"/>
    <w:rsid w:val="00DF5253"/>
    <w:rsid w:val="00DF5586"/>
    <w:rsid w:val="00DF58A8"/>
    <w:rsid w:val="00DF5AE7"/>
    <w:rsid w:val="00DF6553"/>
    <w:rsid w:val="00DF6D38"/>
    <w:rsid w:val="00E00211"/>
    <w:rsid w:val="00E01AB9"/>
    <w:rsid w:val="00E0679C"/>
    <w:rsid w:val="00E1012A"/>
    <w:rsid w:val="00E10202"/>
    <w:rsid w:val="00E10E86"/>
    <w:rsid w:val="00E11C4E"/>
    <w:rsid w:val="00E12437"/>
    <w:rsid w:val="00E12F66"/>
    <w:rsid w:val="00E1428F"/>
    <w:rsid w:val="00E15B73"/>
    <w:rsid w:val="00E15CBD"/>
    <w:rsid w:val="00E160E0"/>
    <w:rsid w:val="00E161D9"/>
    <w:rsid w:val="00E16456"/>
    <w:rsid w:val="00E21448"/>
    <w:rsid w:val="00E21D46"/>
    <w:rsid w:val="00E2444A"/>
    <w:rsid w:val="00E25073"/>
    <w:rsid w:val="00E25121"/>
    <w:rsid w:val="00E25317"/>
    <w:rsid w:val="00E2574D"/>
    <w:rsid w:val="00E262DD"/>
    <w:rsid w:val="00E27AAB"/>
    <w:rsid w:val="00E30DC4"/>
    <w:rsid w:val="00E30F8A"/>
    <w:rsid w:val="00E32527"/>
    <w:rsid w:val="00E32693"/>
    <w:rsid w:val="00E32CEB"/>
    <w:rsid w:val="00E331D7"/>
    <w:rsid w:val="00E343FB"/>
    <w:rsid w:val="00E35765"/>
    <w:rsid w:val="00E36E3E"/>
    <w:rsid w:val="00E37651"/>
    <w:rsid w:val="00E4077F"/>
    <w:rsid w:val="00E41CF3"/>
    <w:rsid w:val="00E4286B"/>
    <w:rsid w:val="00E43652"/>
    <w:rsid w:val="00E4483E"/>
    <w:rsid w:val="00E45678"/>
    <w:rsid w:val="00E45D7B"/>
    <w:rsid w:val="00E46E8C"/>
    <w:rsid w:val="00E50049"/>
    <w:rsid w:val="00E51FF2"/>
    <w:rsid w:val="00E5208F"/>
    <w:rsid w:val="00E523A0"/>
    <w:rsid w:val="00E524F3"/>
    <w:rsid w:val="00E525E7"/>
    <w:rsid w:val="00E5290F"/>
    <w:rsid w:val="00E530C5"/>
    <w:rsid w:val="00E5358B"/>
    <w:rsid w:val="00E53AE6"/>
    <w:rsid w:val="00E54A06"/>
    <w:rsid w:val="00E567C4"/>
    <w:rsid w:val="00E56F4A"/>
    <w:rsid w:val="00E57B3F"/>
    <w:rsid w:val="00E60329"/>
    <w:rsid w:val="00E60943"/>
    <w:rsid w:val="00E61C33"/>
    <w:rsid w:val="00E61E0C"/>
    <w:rsid w:val="00E632AC"/>
    <w:rsid w:val="00E63666"/>
    <w:rsid w:val="00E64F3D"/>
    <w:rsid w:val="00E65EBF"/>
    <w:rsid w:val="00E67314"/>
    <w:rsid w:val="00E678B1"/>
    <w:rsid w:val="00E70328"/>
    <w:rsid w:val="00E71AB7"/>
    <w:rsid w:val="00E733C0"/>
    <w:rsid w:val="00E73EE0"/>
    <w:rsid w:val="00E7465C"/>
    <w:rsid w:val="00E7686B"/>
    <w:rsid w:val="00E7700D"/>
    <w:rsid w:val="00E77DED"/>
    <w:rsid w:val="00E80545"/>
    <w:rsid w:val="00E8096E"/>
    <w:rsid w:val="00E81C52"/>
    <w:rsid w:val="00E82814"/>
    <w:rsid w:val="00E82D7B"/>
    <w:rsid w:val="00E90A3C"/>
    <w:rsid w:val="00E90DDA"/>
    <w:rsid w:val="00E9136A"/>
    <w:rsid w:val="00E91FD7"/>
    <w:rsid w:val="00E92024"/>
    <w:rsid w:val="00E92A7D"/>
    <w:rsid w:val="00E92F6D"/>
    <w:rsid w:val="00E94B7D"/>
    <w:rsid w:val="00E94DEB"/>
    <w:rsid w:val="00E979B9"/>
    <w:rsid w:val="00EA22BF"/>
    <w:rsid w:val="00EA284A"/>
    <w:rsid w:val="00EA2DE8"/>
    <w:rsid w:val="00EA3D84"/>
    <w:rsid w:val="00EA42B0"/>
    <w:rsid w:val="00EA4F14"/>
    <w:rsid w:val="00EA7EE6"/>
    <w:rsid w:val="00EB01C2"/>
    <w:rsid w:val="00EB0FE1"/>
    <w:rsid w:val="00EB16BF"/>
    <w:rsid w:val="00EB1C09"/>
    <w:rsid w:val="00EB227A"/>
    <w:rsid w:val="00EB31B6"/>
    <w:rsid w:val="00EB49B6"/>
    <w:rsid w:val="00EB5227"/>
    <w:rsid w:val="00EB584D"/>
    <w:rsid w:val="00EB5B02"/>
    <w:rsid w:val="00EB5EFD"/>
    <w:rsid w:val="00EB7836"/>
    <w:rsid w:val="00EC08BF"/>
    <w:rsid w:val="00EC3848"/>
    <w:rsid w:val="00EC64A8"/>
    <w:rsid w:val="00EC6BFC"/>
    <w:rsid w:val="00EC7DEF"/>
    <w:rsid w:val="00ED0132"/>
    <w:rsid w:val="00ED1A6D"/>
    <w:rsid w:val="00ED1E12"/>
    <w:rsid w:val="00ED29C0"/>
    <w:rsid w:val="00ED379E"/>
    <w:rsid w:val="00ED40FA"/>
    <w:rsid w:val="00ED46A3"/>
    <w:rsid w:val="00ED5824"/>
    <w:rsid w:val="00ED6222"/>
    <w:rsid w:val="00EE026F"/>
    <w:rsid w:val="00EE10A0"/>
    <w:rsid w:val="00EE1375"/>
    <w:rsid w:val="00EE160D"/>
    <w:rsid w:val="00EE198C"/>
    <w:rsid w:val="00EE2BDF"/>
    <w:rsid w:val="00EE33DB"/>
    <w:rsid w:val="00EE3868"/>
    <w:rsid w:val="00EE3E04"/>
    <w:rsid w:val="00EE4A01"/>
    <w:rsid w:val="00EE7067"/>
    <w:rsid w:val="00EE71C8"/>
    <w:rsid w:val="00EE7CAF"/>
    <w:rsid w:val="00EF2C24"/>
    <w:rsid w:val="00EF427F"/>
    <w:rsid w:val="00EF47AB"/>
    <w:rsid w:val="00EF49EF"/>
    <w:rsid w:val="00F00125"/>
    <w:rsid w:val="00F00A84"/>
    <w:rsid w:val="00F00C77"/>
    <w:rsid w:val="00F0108B"/>
    <w:rsid w:val="00F01954"/>
    <w:rsid w:val="00F01AD1"/>
    <w:rsid w:val="00F026AA"/>
    <w:rsid w:val="00F027AA"/>
    <w:rsid w:val="00F04D0F"/>
    <w:rsid w:val="00F054BD"/>
    <w:rsid w:val="00F05E4E"/>
    <w:rsid w:val="00F0634D"/>
    <w:rsid w:val="00F10E96"/>
    <w:rsid w:val="00F130DE"/>
    <w:rsid w:val="00F137EF"/>
    <w:rsid w:val="00F13A0E"/>
    <w:rsid w:val="00F1431A"/>
    <w:rsid w:val="00F15363"/>
    <w:rsid w:val="00F15B54"/>
    <w:rsid w:val="00F17E9B"/>
    <w:rsid w:val="00F20623"/>
    <w:rsid w:val="00F20CCE"/>
    <w:rsid w:val="00F21936"/>
    <w:rsid w:val="00F21B52"/>
    <w:rsid w:val="00F21DE1"/>
    <w:rsid w:val="00F21FDB"/>
    <w:rsid w:val="00F23785"/>
    <w:rsid w:val="00F240F4"/>
    <w:rsid w:val="00F253AE"/>
    <w:rsid w:val="00F25900"/>
    <w:rsid w:val="00F26D8C"/>
    <w:rsid w:val="00F270FA"/>
    <w:rsid w:val="00F27763"/>
    <w:rsid w:val="00F27B87"/>
    <w:rsid w:val="00F27E5C"/>
    <w:rsid w:val="00F310D6"/>
    <w:rsid w:val="00F31712"/>
    <w:rsid w:val="00F31E70"/>
    <w:rsid w:val="00F320A1"/>
    <w:rsid w:val="00F33B3E"/>
    <w:rsid w:val="00F33FA0"/>
    <w:rsid w:val="00F35874"/>
    <w:rsid w:val="00F36B05"/>
    <w:rsid w:val="00F36F31"/>
    <w:rsid w:val="00F401C5"/>
    <w:rsid w:val="00F42675"/>
    <w:rsid w:val="00F42815"/>
    <w:rsid w:val="00F43105"/>
    <w:rsid w:val="00F4342A"/>
    <w:rsid w:val="00F44086"/>
    <w:rsid w:val="00F44969"/>
    <w:rsid w:val="00F44AD7"/>
    <w:rsid w:val="00F44D1A"/>
    <w:rsid w:val="00F453E7"/>
    <w:rsid w:val="00F46730"/>
    <w:rsid w:val="00F506B5"/>
    <w:rsid w:val="00F5073C"/>
    <w:rsid w:val="00F50A92"/>
    <w:rsid w:val="00F54CD1"/>
    <w:rsid w:val="00F55061"/>
    <w:rsid w:val="00F55737"/>
    <w:rsid w:val="00F5593A"/>
    <w:rsid w:val="00F55B59"/>
    <w:rsid w:val="00F56230"/>
    <w:rsid w:val="00F56E1D"/>
    <w:rsid w:val="00F57C58"/>
    <w:rsid w:val="00F6203D"/>
    <w:rsid w:val="00F62461"/>
    <w:rsid w:val="00F63684"/>
    <w:rsid w:val="00F637A7"/>
    <w:rsid w:val="00F63997"/>
    <w:rsid w:val="00F65FAE"/>
    <w:rsid w:val="00F667B3"/>
    <w:rsid w:val="00F66C13"/>
    <w:rsid w:val="00F67A37"/>
    <w:rsid w:val="00F705D2"/>
    <w:rsid w:val="00F70B18"/>
    <w:rsid w:val="00F712A3"/>
    <w:rsid w:val="00F715E3"/>
    <w:rsid w:val="00F719E0"/>
    <w:rsid w:val="00F7235E"/>
    <w:rsid w:val="00F723F4"/>
    <w:rsid w:val="00F7471E"/>
    <w:rsid w:val="00F75CA3"/>
    <w:rsid w:val="00F77135"/>
    <w:rsid w:val="00F8188A"/>
    <w:rsid w:val="00F826F9"/>
    <w:rsid w:val="00F82B0F"/>
    <w:rsid w:val="00F831E9"/>
    <w:rsid w:val="00F83B2B"/>
    <w:rsid w:val="00F84E37"/>
    <w:rsid w:val="00F85B05"/>
    <w:rsid w:val="00F85E86"/>
    <w:rsid w:val="00F8663F"/>
    <w:rsid w:val="00F90053"/>
    <w:rsid w:val="00F900E6"/>
    <w:rsid w:val="00F905B2"/>
    <w:rsid w:val="00F90C84"/>
    <w:rsid w:val="00F911E5"/>
    <w:rsid w:val="00F91C1D"/>
    <w:rsid w:val="00F930C3"/>
    <w:rsid w:val="00F945FF"/>
    <w:rsid w:val="00F95700"/>
    <w:rsid w:val="00F95FAC"/>
    <w:rsid w:val="00F961E4"/>
    <w:rsid w:val="00F963F8"/>
    <w:rsid w:val="00F97915"/>
    <w:rsid w:val="00FA0435"/>
    <w:rsid w:val="00FA0745"/>
    <w:rsid w:val="00FA0CF9"/>
    <w:rsid w:val="00FA1544"/>
    <w:rsid w:val="00FA1C5B"/>
    <w:rsid w:val="00FA1CD9"/>
    <w:rsid w:val="00FA2881"/>
    <w:rsid w:val="00FA2E01"/>
    <w:rsid w:val="00FA3716"/>
    <w:rsid w:val="00FA438B"/>
    <w:rsid w:val="00FA451C"/>
    <w:rsid w:val="00FA64C6"/>
    <w:rsid w:val="00FA761B"/>
    <w:rsid w:val="00FA77B6"/>
    <w:rsid w:val="00FB029B"/>
    <w:rsid w:val="00FB0FAB"/>
    <w:rsid w:val="00FB39A4"/>
    <w:rsid w:val="00FB40C4"/>
    <w:rsid w:val="00FB455B"/>
    <w:rsid w:val="00FB4686"/>
    <w:rsid w:val="00FB520C"/>
    <w:rsid w:val="00FB5A89"/>
    <w:rsid w:val="00FB6690"/>
    <w:rsid w:val="00FB6E4E"/>
    <w:rsid w:val="00FB7307"/>
    <w:rsid w:val="00FB73E4"/>
    <w:rsid w:val="00FB7D51"/>
    <w:rsid w:val="00FC19A4"/>
    <w:rsid w:val="00FC1F5E"/>
    <w:rsid w:val="00FC3540"/>
    <w:rsid w:val="00FC4642"/>
    <w:rsid w:val="00FC47C7"/>
    <w:rsid w:val="00FC47E0"/>
    <w:rsid w:val="00FC48DF"/>
    <w:rsid w:val="00FC5377"/>
    <w:rsid w:val="00FC6A04"/>
    <w:rsid w:val="00FC7B62"/>
    <w:rsid w:val="00FC7CEC"/>
    <w:rsid w:val="00FD048B"/>
    <w:rsid w:val="00FD0BDB"/>
    <w:rsid w:val="00FD0C16"/>
    <w:rsid w:val="00FD1308"/>
    <w:rsid w:val="00FD36A5"/>
    <w:rsid w:val="00FD4792"/>
    <w:rsid w:val="00FD4D0A"/>
    <w:rsid w:val="00FD5283"/>
    <w:rsid w:val="00FD56BD"/>
    <w:rsid w:val="00FD6399"/>
    <w:rsid w:val="00FD69FA"/>
    <w:rsid w:val="00FD6BE7"/>
    <w:rsid w:val="00FD6E25"/>
    <w:rsid w:val="00FD7F71"/>
    <w:rsid w:val="00FE0BED"/>
    <w:rsid w:val="00FE2C66"/>
    <w:rsid w:val="00FE3115"/>
    <w:rsid w:val="00FE3ABB"/>
    <w:rsid w:val="00FE5498"/>
    <w:rsid w:val="00FE5664"/>
    <w:rsid w:val="00FE6BCE"/>
    <w:rsid w:val="00FE77F4"/>
    <w:rsid w:val="00FF0074"/>
    <w:rsid w:val="00FF1229"/>
    <w:rsid w:val="00FF17D1"/>
    <w:rsid w:val="00FF3066"/>
    <w:rsid w:val="00FF3298"/>
    <w:rsid w:val="00FF339D"/>
    <w:rsid w:val="00FF4514"/>
    <w:rsid w:val="00FF5B40"/>
    <w:rsid w:val="00FF5FCD"/>
    <w:rsid w:val="00FF68D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734936AB"/>
  <w15:docId w15:val="{BD610AA0-D8FA-48F0-A01C-AA11AB068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147E0"/>
  </w:style>
  <w:style w:type="paragraph" w:styleId="1">
    <w:name w:val="heading 1"/>
    <w:basedOn w:val="a"/>
    <w:next w:val="a"/>
    <w:link w:val="10"/>
    <w:qFormat/>
    <w:rsid w:val="008147E0"/>
    <w:pPr>
      <w:keepNext/>
      <w:tabs>
        <w:tab w:val="left" w:pos="6420"/>
      </w:tabs>
      <w:jc w:val="center"/>
      <w:outlineLvl w:val="0"/>
    </w:pPr>
    <w:rPr>
      <w:sz w:val="28"/>
      <w:szCs w:val="24"/>
    </w:rPr>
  </w:style>
  <w:style w:type="paragraph" w:styleId="2">
    <w:name w:val="heading 2"/>
    <w:basedOn w:val="a"/>
    <w:next w:val="a"/>
    <w:qFormat/>
    <w:rsid w:val="008147E0"/>
    <w:pPr>
      <w:keepNext/>
      <w:tabs>
        <w:tab w:val="left" w:pos="6420"/>
      </w:tabs>
      <w:jc w:val="center"/>
      <w:outlineLvl w:val="1"/>
    </w:pPr>
    <w:rPr>
      <w:b/>
      <w:bCs/>
      <w:sz w:val="32"/>
      <w:szCs w:val="24"/>
    </w:rPr>
  </w:style>
  <w:style w:type="paragraph" w:styleId="3">
    <w:name w:val="heading 3"/>
    <w:basedOn w:val="a"/>
    <w:next w:val="a"/>
    <w:qFormat/>
    <w:rsid w:val="008147E0"/>
    <w:pPr>
      <w:keepNext/>
      <w:tabs>
        <w:tab w:val="left" w:pos="6420"/>
      </w:tabs>
      <w:jc w:val="center"/>
      <w:outlineLvl w:val="2"/>
    </w:pPr>
    <w:rPr>
      <w:b/>
      <w:bCs/>
      <w:sz w:val="28"/>
    </w:rPr>
  </w:style>
  <w:style w:type="paragraph" w:styleId="4">
    <w:name w:val="heading 4"/>
    <w:basedOn w:val="a"/>
    <w:next w:val="a"/>
    <w:qFormat/>
    <w:rsid w:val="008147E0"/>
    <w:pPr>
      <w:keepNext/>
      <w:spacing w:before="240" w:after="60"/>
      <w:outlineLvl w:val="3"/>
    </w:pPr>
    <w:rPr>
      <w:b/>
      <w:bCs/>
      <w:sz w:val="28"/>
      <w:szCs w:val="28"/>
    </w:rPr>
  </w:style>
  <w:style w:type="paragraph" w:styleId="5">
    <w:name w:val="heading 5"/>
    <w:basedOn w:val="a"/>
    <w:next w:val="a"/>
    <w:qFormat/>
    <w:rsid w:val="008147E0"/>
    <w:pPr>
      <w:spacing w:before="240" w:after="60"/>
      <w:outlineLvl w:val="4"/>
    </w:pPr>
    <w:rPr>
      <w:b/>
      <w:bCs/>
      <w:i/>
      <w:iCs/>
      <w:sz w:val="26"/>
      <w:szCs w:val="26"/>
    </w:rPr>
  </w:style>
  <w:style w:type="paragraph" w:styleId="6">
    <w:name w:val="heading 6"/>
    <w:basedOn w:val="a"/>
    <w:next w:val="a"/>
    <w:qFormat/>
    <w:rsid w:val="008147E0"/>
    <w:pPr>
      <w:spacing w:before="240" w:after="60"/>
      <w:outlineLvl w:val="5"/>
    </w:pPr>
    <w:rPr>
      <w:b/>
      <w:bCs/>
      <w:sz w:val="22"/>
      <w:szCs w:val="22"/>
    </w:rPr>
  </w:style>
  <w:style w:type="paragraph" w:styleId="7">
    <w:name w:val="heading 7"/>
    <w:basedOn w:val="a"/>
    <w:next w:val="a"/>
    <w:qFormat/>
    <w:rsid w:val="008147E0"/>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8147E0"/>
    <w:pPr>
      <w:tabs>
        <w:tab w:val="left" w:pos="6420"/>
      </w:tabs>
      <w:jc w:val="center"/>
    </w:pPr>
    <w:rPr>
      <w:b/>
      <w:bCs/>
      <w:sz w:val="28"/>
    </w:rPr>
  </w:style>
  <w:style w:type="paragraph" w:styleId="30">
    <w:name w:val="Body Text Indent 3"/>
    <w:basedOn w:val="a"/>
    <w:link w:val="31"/>
    <w:rsid w:val="008147E0"/>
    <w:pPr>
      <w:ind w:firstLine="720"/>
      <w:jc w:val="both"/>
    </w:pPr>
    <w:rPr>
      <w:rFonts w:ascii="Kyrghyz Times" w:hAnsi="Kyrghyz Times"/>
      <w:sz w:val="24"/>
    </w:rPr>
  </w:style>
  <w:style w:type="paragraph" w:styleId="a4">
    <w:name w:val="footer"/>
    <w:basedOn w:val="a"/>
    <w:link w:val="a5"/>
    <w:uiPriority w:val="99"/>
    <w:rsid w:val="008147E0"/>
    <w:pPr>
      <w:tabs>
        <w:tab w:val="center" w:pos="4677"/>
        <w:tab w:val="right" w:pos="9355"/>
      </w:tabs>
    </w:pPr>
  </w:style>
  <w:style w:type="character" w:styleId="a6">
    <w:name w:val="page number"/>
    <w:basedOn w:val="a0"/>
    <w:rsid w:val="008147E0"/>
  </w:style>
  <w:style w:type="paragraph" w:styleId="a7">
    <w:name w:val="Body Text"/>
    <w:basedOn w:val="a"/>
    <w:rsid w:val="008147E0"/>
    <w:pPr>
      <w:spacing w:after="120"/>
    </w:pPr>
  </w:style>
  <w:style w:type="paragraph" w:styleId="20">
    <w:name w:val="Body Text 2"/>
    <w:basedOn w:val="a"/>
    <w:rsid w:val="008147E0"/>
    <w:pPr>
      <w:spacing w:after="120" w:line="480" w:lineRule="auto"/>
    </w:pPr>
  </w:style>
  <w:style w:type="paragraph" w:styleId="a8">
    <w:name w:val="Body Text Indent"/>
    <w:basedOn w:val="a"/>
    <w:link w:val="a9"/>
    <w:rsid w:val="008147E0"/>
    <w:pPr>
      <w:spacing w:after="120"/>
      <w:ind w:left="283"/>
    </w:pPr>
  </w:style>
  <w:style w:type="paragraph" w:styleId="32">
    <w:name w:val="Body Text 3"/>
    <w:basedOn w:val="a"/>
    <w:link w:val="33"/>
    <w:rsid w:val="008147E0"/>
    <w:pPr>
      <w:spacing w:after="120"/>
    </w:pPr>
    <w:rPr>
      <w:sz w:val="16"/>
      <w:szCs w:val="16"/>
    </w:rPr>
  </w:style>
  <w:style w:type="paragraph" w:styleId="21">
    <w:name w:val="Body Text Indent 2"/>
    <w:basedOn w:val="a"/>
    <w:link w:val="22"/>
    <w:uiPriority w:val="99"/>
    <w:rsid w:val="008147E0"/>
    <w:pPr>
      <w:spacing w:after="120" w:line="480" w:lineRule="auto"/>
      <w:ind w:left="283"/>
    </w:pPr>
  </w:style>
  <w:style w:type="paragraph" w:customStyle="1" w:styleId="11">
    <w:name w:val="заголовок 1"/>
    <w:basedOn w:val="a"/>
    <w:next w:val="a"/>
    <w:rsid w:val="008147E0"/>
    <w:pPr>
      <w:keepNext/>
      <w:autoSpaceDE w:val="0"/>
      <w:autoSpaceDN w:val="0"/>
      <w:jc w:val="center"/>
      <w:outlineLvl w:val="0"/>
    </w:pPr>
    <w:rPr>
      <w:szCs w:val="24"/>
    </w:rPr>
  </w:style>
  <w:style w:type="paragraph" w:customStyle="1" w:styleId="23">
    <w:name w:val="заголовок 2"/>
    <w:basedOn w:val="a"/>
    <w:next w:val="a"/>
    <w:rsid w:val="008147E0"/>
    <w:pPr>
      <w:keepNext/>
      <w:autoSpaceDE w:val="0"/>
      <w:autoSpaceDN w:val="0"/>
      <w:jc w:val="center"/>
      <w:outlineLvl w:val="1"/>
    </w:pPr>
    <w:rPr>
      <w:b/>
      <w:bCs/>
      <w:szCs w:val="24"/>
    </w:rPr>
  </w:style>
  <w:style w:type="character" w:customStyle="1" w:styleId="aa">
    <w:name w:val="Основной шрифт"/>
    <w:rsid w:val="008147E0"/>
  </w:style>
  <w:style w:type="paragraph" w:styleId="ab">
    <w:name w:val="Title"/>
    <w:basedOn w:val="a"/>
    <w:qFormat/>
    <w:rsid w:val="008147E0"/>
    <w:pPr>
      <w:autoSpaceDE w:val="0"/>
      <w:autoSpaceDN w:val="0"/>
      <w:jc w:val="center"/>
    </w:pPr>
    <w:rPr>
      <w:szCs w:val="24"/>
    </w:rPr>
  </w:style>
  <w:style w:type="paragraph" w:styleId="ac">
    <w:name w:val="header"/>
    <w:basedOn w:val="a"/>
    <w:rsid w:val="008147E0"/>
    <w:pPr>
      <w:tabs>
        <w:tab w:val="center" w:pos="4153"/>
        <w:tab w:val="right" w:pos="8306"/>
      </w:tabs>
      <w:autoSpaceDE w:val="0"/>
      <w:autoSpaceDN w:val="0"/>
    </w:pPr>
  </w:style>
  <w:style w:type="paragraph" w:customStyle="1" w:styleId="12">
    <w:name w:val="Обычный1"/>
    <w:rsid w:val="008147E0"/>
  </w:style>
  <w:style w:type="paragraph" w:customStyle="1" w:styleId="24">
    <w:name w:val="Обычный2"/>
    <w:rsid w:val="008147E0"/>
    <w:pPr>
      <w:widowControl w:val="0"/>
      <w:autoSpaceDE w:val="0"/>
      <w:autoSpaceDN w:val="0"/>
    </w:pPr>
  </w:style>
  <w:style w:type="paragraph" w:styleId="ad">
    <w:name w:val="Balloon Text"/>
    <w:basedOn w:val="a"/>
    <w:semiHidden/>
    <w:rsid w:val="008D0E24"/>
    <w:rPr>
      <w:rFonts w:ascii="Tahoma" w:hAnsi="Tahoma" w:cs="Tahoma"/>
      <w:sz w:val="16"/>
      <w:szCs w:val="16"/>
    </w:rPr>
  </w:style>
  <w:style w:type="character" w:styleId="ae">
    <w:name w:val="Emphasis"/>
    <w:qFormat/>
    <w:rsid w:val="005F5B0B"/>
    <w:rPr>
      <w:i/>
      <w:iCs/>
    </w:rPr>
  </w:style>
  <w:style w:type="character" w:styleId="af">
    <w:name w:val="Strong"/>
    <w:qFormat/>
    <w:rsid w:val="005F5B0B"/>
    <w:rPr>
      <w:b/>
      <w:bCs/>
    </w:rPr>
  </w:style>
  <w:style w:type="character" w:customStyle="1" w:styleId="apple-converted-space">
    <w:name w:val="apple-converted-space"/>
    <w:basedOn w:val="a0"/>
    <w:rsid w:val="005F5B0B"/>
  </w:style>
  <w:style w:type="paragraph" w:styleId="af0">
    <w:name w:val="Revision"/>
    <w:hidden/>
    <w:uiPriority w:val="99"/>
    <w:semiHidden/>
    <w:rsid w:val="00FD69FA"/>
  </w:style>
  <w:style w:type="table" w:styleId="af1">
    <w:name w:val="Table Grid"/>
    <w:basedOn w:val="a1"/>
    <w:rsid w:val="00473C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5F6864"/>
    <w:pPr>
      <w:widowControl w:val="0"/>
      <w:autoSpaceDE w:val="0"/>
      <w:autoSpaceDN w:val="0"/>
    </w:pPr>
  </w:style>
  <w:style w:type="character" w:customStyle="1" w:styleId="a5">
    <w:name w:val="Нижний колонтитул Знак"/>
    <w:link w:val="a4"/>
    <w:uiPriority w:val="99"/>
    <w:rsid w:val="008E41FC"/>
  </w:style>
  <w:style w:type="paragraph" w:customStyle="1" w:styleId="Iauiue">
    <w:name w:val="Iau?iue"/>
    <w:rsid w:val="009702E1"/>
  </w:style>
  <w:style w:type="paragraph" w:customStyle="1" w:styleId="OsnTxt">
    <w:name w:val="OsnTxt"/>
    <w:rsid w:val="009702E1"/>
    <w:pPr>
      <w:spacing w:line="330" w:lineRule="exact"/>
      <w:ind w:firstLine="709"/>
      <w:jc w:val="both"/>
    </w:pPr>
    <w:rPr>
      <w:rFonts w:ascii="Arial" w:hAnsi="Arial"/>
      <w:sz w:val="23"/>
    </w:rPr>
  </w:style>
  <w:style w:type="paragraph" w:styleId="af2">
    <w:name w:val="footnote text"/>
    <w:aliases w:val="single space,FOOTNOTES,fn,Footnote,12pt"/>
    <w:basedOn w:val="a"/>
    <w:link w:val="af3"/>
    <w:rsid w:val="00445855"/>
    <w:pPr>
      <w:widowControl w:val="0"/>
      <w:autoSpaceDE w:val="0"/>
      <w:autoSpaceDN w:val="0"/>
    </w:pPr>
  </w:style>
  <w:style w:type="character" w:customStyle="1" w:styleId="af3">
    <w:name w:val="Текст сноски Знак"/>
    <w:aliases w:val="single space Знак,FOOTNOTES Знак,fn Знак,Footnote Знак,12pt Знак"/>
    <w:basedOn w:val="a0"/>
    <w:link w:val="af2"/>
    <w:rsid w:val="00445855"/>
  </w:style>
  <w:style w:type="character" w:customStyle="1" w:styleId="a9">
    <w:name w:val="Основной текст с отступом Знак"/>
    <w:link w:val="a8"/>
    <w:rsid w:val="004E0EEA"/>
  </w:style>
  <w:style w:type="character" w:customStyle="1" w:styleId="10">
    <w:name w:val="Заголовок 1 Знак"/>
    <w:link w:val="1"/>
    <w:rsid w:val="000C72A7"/>
    <w:rPr>
      <w:sz w:val="28"/>
      <w:szCs w:val="24"/>
    </w:rPr>
  </w:style>
  <w:style w:type="character" w:customStyle="1" w:styleId="22">
    <w:name w:val="Основной текст с отступом 2 Знак"/>
    <w:basedOn w:val="a0"/>
    <w:link w:val="21"/>
    <w:uiPriority w:val="99"/>
    <w:rsid w:val="002C6741"/>
  </w:style>
  <w:style w:type="character" w:customStyle="1" w:styleId="33">
    <w:name w:val="Основной текст 3 Знак"/>
    <w:basedOn w:val="a0"/>
    <w:link w:val="32"/>
    <w:rsid w:val="008C3129"/>
    <w:rPr>
      <w:sz w:val="16"/>
      <w:szCs w:val="16"/>
    </w:rPr>
  </w:style>
  <w:style w:type="character" w:customStyle="1" w:styleId="31">
    <w:name w:val="Основной текст с отступом 3 Знак"/>
    <w:link w:val="30"/>
    <w:rsid w:val="004B45A6"/>
    <w:rPr>
      <w:rFonts w:ascii="Kyrghyz Times" w:hAnsi="Kyrghyz 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chart" Target="charts/chart8.xml"/><Relationship Id="rId25" Type="http://schemas.openxmlformats.org/officeDocument/2006/relationships/chart" Target="charts/chart14.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chart" Target="charts/chart13.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chart" Target="charts/chart12.xml"/><Relationship Id="rId28"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 Id="rId22" Type="http://schemas.openxmlformats.org/officeDocument/2006/relationships/oleObject" Target="embeddings/Microsoft_Excel_97-2003_Worksheet.xls"/><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7.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8.xml"/></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13.xlsx"/><Relationship Id="rId1" Type="http://schemas.openxmlformats.org/officeDocument/2006/relationships/themeOverride" Target="../theme/themeOverride9.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4.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5.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45"/>
      <c:rotY val="150"/>
      <c:rAngAx val="0"/>
      <c:perspective val="0"/>
    </c:view3D>
    <c:floor>
      <c:thickness val="0"/>
    </c:floor>
    <c:sideWall>
      <c:thickness val="0"/>
    </c:sideWall>
    <c:backWall>
      <c:thickness val="0"/>
    </c:backWall>
    <c:plotArea>
      <c:layout>
        <c:manualLayout>
          <c:layoutTarget val="inner"/>
          <c:xMode val="edge"/>
          <c:yMode val="edge"/>
          <c:x val="0.10409556313993173"/>
          <c:y val="0.10989010989011012"/>
          <c:w val="0.32593856655291442"/>
          <c:h val="0.84615384615386591"/>
        </c:manualLayout>
      </c:layout>
      <c:pie3DChart>
        <c:varyColors val="1"/>
        <c:ser>
          <c:idx val="0"/>
          <c:order val="0"/>
          <c:spPr>
            <a:solidFill>
              <a:srgbClr val="9999FF"/>
            </a:solidFill>
            <a:ln w="11485">
              <a:solidFill>
                <a:srgbClr val="000000"/>
              </a:solidFill>
              <a:prstDash val="solid"/>
            </a:ln>
          </c:spPr>
          <c:explosion val="25"/>
          <c:dPt>
            <c:idx val="1"/>
            <c:bubble3D val="0"/>
            <c:spPr>
              <a:solidFill>
                <a:srgbClr val="993366"/>
              </a:solidFill>
              <a:ln w="11485">
                <a:solidFill>
                  <a:srgbClr val="000000"/>
                </a:solidFill>
                <a:prstDash val="solid"/>
              </a:ln>
            </c:spPr>
            <c:extLst>
              <c:ext xmlns:c16="http://schemas.microsoft.com/office/drawing/2014/chart" uri="{C3380CC4-5D6E-409C-BE32-E72D297353CC}">
                <c16:uniqueId val="{00000001-2B63-4156-863D-32E9ACBA68DF}"/>
              </c:ext>
            </c:extLst>
          </c:dPt>
          <c:dPt>
            <c:idx val="2"/>
            <c:bubble3D val="0"/>
            <c:spPr>
              <a:solidFill>
                <a:srgbClr val="FFFFCC"/>
              </a:solidFill>
              <a:ln w="11485">
                <a:solidFill>
                  <a:srgbClr val="000000"/>
                </a:solidFill>
                <a:prstDash val="solid"/>
              </a:ln>
            </c:spPr>
            <c:extLst>
              <c:ext xmlns:c16="http://schemas.microsoft.com/office/drawing/2014/chart" uri="{C3380CC4-5D6E-409C-BE32-E72D297353CC}">
                <c16:uniqueId val="{00000003-2B63-4156-863D-32E9ACBA68DF}"/>
              </c:ext>
            </c:extLst>
          </c:dPt>
          <c:dLbls>
            <c:dLbl>
              <c:idx val="0"/>
              <c:layout>
                <c:manualLayout>
                  <c:x val="-6.566788571796307E-3"/>
                  <c:y val="1.4203579517186764E-3"/>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B63-4156-863D-32E9ACBA68DF}"/>
                </c:ext>
              </c:extLst>
            </c:dLbl>
            <c:dLbl>
              <c:idx val="1"/>
              <c:layout>
                <c:manualLayout>
                  <c:x val="-2.0947936214072402E-2"/>
                  <c:y val="-4.4155530627179487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B63-4156-863D-32E9ACBA68DF}"/>
                </c:ext>
              </c:extLst>
            </c:dLbl>
            <c:dLbl>
              <c:idx val="2"/>
              <c:layout>
                <c:manualLayout>
                  <c:x val="8.4772835794378199E-4"/>
                  <c:y val="-3.5897441849533411E-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B63-4156-863D-32E9ACBA68DF}"/>
                </c:ext>
              </c:extLst>
            </c:dLbl>
            <c:spPr>
              <a:noFill/>
              <a:ln w="22970">
                <a:noFill/>
              </a:ln>
            </c:spPr>
            <c:txPr>
              <a:bodyPr/>
              <a:lstStyle/>
              <a:p>
                <a:pPr>
                  <a:defRPr sz="814"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Sheet1!$A$2:$A$5</c:f>
              <c:strCache>
                <c:ptCount val="4"/>
                <c:pt idx="0">
                  <c:v>Тоо-кен өнөр жайы /Добыча полезных ископаенмых</c:v>
                </c:pt>
                <c:pt idx="1">
                  <c:v>Электр энергиясын, газ менен сууну өндүрүү жана бөлүштүрүү / Обеспечение (снабжение) электроэнергией газа и воды</c:v>
                </c:pt>
                <c:pt idx="2">
                  <c:v>Иштетүү өнөр жайы / Обрабатывающие  производства</c:v>
                </c:pt>
                <c:pt idx="3">
                  <c:v>Суу менен жабдуу, тазалоо, калдыктарды иштетүү жана экинчи ирет сырьену алуу өндүрүшүнүн продукцияларынын көлөмү/Водоснабжение, очистка, обработка
отходов и получение вторичного сырья
</c:v>
                </c:pt>
              </c:strCache>
            </c:strRef>
          </c:cat>
          <c:val>
            <c:numRef>
              <c:f>Sheet1!$B$2:$B$5</c:f>
              <c:numCache>
                <c:formatCode>0.0</c:formatCode>
                <c:ptCount val="4"/>
                <c:pt idx="0" formatCode="General">
                  <c:v>53.4</c:v>
                </c:pt>
                <c:pt idx="1">
                  <c:v>24</c:v>
                </c:pt>
                <c:pt idx="2" formatCode="General">
                  <c:v>21.9</c:v>
                </c:pt>
                <c:pt idx="3" formatCode="General">
                  <c:v>0.7</c:v>
                </c:pt>
              </c:numCache>
            </c:numRef>
          </c:val>
          <c:extLst>
            <c:ext xmlns:c16="http://schemas.microsoft.com/office/drawing/2014/chart" uri="{C3380CC4-5D6E-409C-BE32-E72D297353CC}">
              <c16:uniqueId val="{00000005-2B63-4156-863D-32E9ACBA68DF}"/>
            </c:ext>
          </c:extLst>
        </c:ser>
        <c:dLbls>
          <c:showLegendKey val="0"/>
          <c:showVal val="0"/>
          <c:showCatName val="0"/>
          <c:showSerName val="0"/>
          <c:showPercent val="0"/>
          <c:showBubbleSize val="0"/>
          <c:showLeaderLines val="1"/>
        </c:dLbls>
      </c:pie3DChart>
      <c:spPr>
        <a:noFill/>
        <a:ln w="22985">
          <a:noFill/>
        </a:ln>
      </c:spPr>
    </c:plotArea>
    <c:legend>
      <c:legendPos val="r"/>
      <c:layout>
        <c:manualLayout>
          <c:xMode val="edge"/>
          <c:yMode val="edge"/>
          <c:x val="0.49678390201226014"/>
          <c:y val="0"/>
          <c:w val="0.35824629238418382"/>
          <c:h val="0.93706647970373558"/>
        </c:manualLayout>
      </c:layout>
      <c:overlay val="0"/>
      <c:spPr>
        <a:noFill/>
        <a:ln w="22970">
          <a:noFill/>
        </a:ln>
      </c:spPr>
      <c:txPr>
        <a:bodyPr/>
        <a:lstStyle/>
        <a:p>
          <a:pPr>
            <a:defRPr sz="633" b="0" i="0" u="none" strike="noStrike" baseline="0">
              <a:solidFill>
                <a:srgbClr val="000000"/>
              </a:solidFill>
              <a:latin typeface="Times New Roman"/>
              <a:ea typeface="Times New Roman"/>
              <a:cs typeface="Times New Roman"/>
            </a:defRPr>
          </a:pPr>
          <a:endParaRPr lang="ru-RU"/>
        </a:p>
      </c:txPr>
    </c:legend>
    <c:plotVisOnly val="1"/>
    <c:dispBlanksAs val="zero"/>
    <c:showDLblsOverMax val="0"/>
  </c:chart>
  <c:spPr>
    <a:noFill/>
    <a:ln>
      <a:noFill/>
    </a:ln>
  </c:spPr>
  <c:txPr>
    <a:bodyPr/>
    <a:lstStyle/>
    <a:p>
      <a:pPr>
        <a:defRPr sz="814" b="0" i="0" u="none" strike="noStrike" baseline="0">
          <a:solidFill>
            <a:srgbClr val="000000"/>
          </a:solidFill>
          <a:latin typeface="Times New Roman"/>
          <a:ea typeface="Times New Roman"/>
          <a:cs typeface="Times New Roman"/>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1395348837210765E-2"/>
          <c:y val="4.8582995951419308E-2"/>
          <c:w val="0.91860465116280265"/>
          <c:h val="0.62348178137651822"/>
        </c:manualLayout>
      </c:layout>
      <c:barChart>
        <c:barDir val="col"/>
        <c:grouping val="clustered"/>
        <c:varyColors val="0"/>
        <c:ser>
          <c:idx val="0"/>
          <c:order val="0"/>
          <c:tx>
            <c:strRef>
              <c:f>Sheet1!$A$2</c:f>
              <c:strCache>
                <c:ptCount val="1"/>
                <c:pt idx="0">
                  <c:v>Алыскы чет өлкөлөр / Страны дальнего зарубежья</c:v>
                </c:pt>
              </c:strCache>
            </c:strRef>
          </c:tx>
          <c:spPr>
            <a:solidFill>
              <a:srgbClr val="FFFFFF"/>
            </a:solidFill>
            <a:ln w="12017">
              <a:solidFill>
                <a:srgbClr val="000000"/>
              </a:solidFill>
              <a:prstDash val="solid"/>
            </a:ln>
          </c:spPr>
          <c:invertIfNegative val="0"/>
          <c:dLbls>
            <c:dLbl>
              <c:idx val="2"/>
              <c:layout>
                <c:manualLayout>
                  <c:x val="2.6757407155900042E-3"/>
                  <c:y val="-6.159176005554212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6A7-472B-B140-4CAB9C20CA82}"/>
                </c:ext>
              </c:extLst>
            </c:dLbl>
            <c:spPr>
              <a:noFill/>
              <a:ln w="24035">
                <a:noFill/>
              </a:ln>
            </c:spPr>
            <c:txPr>
              <a:bodyPr/>
              <a:lstStyle/>
              <a:p>
                <a:pPr>
                  <a:defRPr sz="875"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2020</c:v>
                </c:pt>
                <c:pt idx="1">
                  <c:v>2021</c:v>
                </c:pt>
                <c:pt idx="2">
                  <c:v>2022</c:v>
                </c:pt>
                <c:pt idx="3">
                  <c:v>2023</c:v>
                </c:pt>
                <c:pt idx="4">
                  <c:v>2024</c:v>
                </c:pt>
              </c:numCache>
            </c:numRef>
          </c:cat>
          <c:val>
            <c:numRef>
              <c:f>Sheet1!$B$2:$F$2</c:f>
              <c:numCache>
                <c:formatCode>0.0</c:formatCode>
                <c:ptCount val="5"/>
                <c:pt idx="0" formatCode="General">
                  <c:v>68.7</c:v>
                </c:pt>
                <c:pt idx="1">
                  <c:v>67.2</c:v>
                </c:pt>
                <c:pt idx="2">
                  <c:v>60.9</c:v>
                </c:pt>
                <c:pt idx="3">
                  <c:v>47</c:v>
                </c:pt>
                <c:pt idx="4">
                  <c:v>53.5</c:v>
                </c:pt>
              </c:numCache>
            </c:numRef>
          </c:val>
          <c:extLst>
            <c:ext xmlns:c16="http://schemas.microsoft.com/office/drawing/2014/chart" uri="{C3380CC4-5D6E-409C-BE32-E72D297353CC}">
              <c16:uniqueId val="{00000001-D6A7-472B-B140-4CAB9C20CA82}"/>
            </c:ext>
          </c:extLst>
        </c:ser>
        <c:ser>
          <c:idx val="1"/>
          <c:order val="1"/>
          <c:tx>
            <c:strRef>
              <c:f>Sheet1!$A$3</c:f>
              <c:strCache>
                <c:ptCount val="1"/>
                <c:pt idx="0">
                  <c:v>КМШ мамлекеттери / Государства - члены СНГ</c:v>
                </c:pt>
              </c:strCache>
            </c:strRef>
          </c:tx>
          <c:spPr>
            <a:solidFill>
              <a:srgbClr val="993366"/>
            </a:solidFill>
            <a:ln w="12017">
              <a:solidFill>
                <a:srgbClr val="000000"/>
              </a:solidFill>
              <a:prstDash val="solid"/>
            </a:ln>
          </c:spPr>
          <c:invertIfNegative val="0"/>
          <c:dLbls>
            <c:dLbl>
              <c:idx val="0"/>
              <c:layout>
                <c:manualLayout>
                  <c:x val="7.0315995463932114E-3"/>
                  <c:y val="-7.493168477491900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6A7-472B-B140-4CAB9C20CA82}"/>
                </c:ext>
              </c:extLst>
            </c:dLbl>
            <c:spPr>
              <a:noFill/>
              <a:ln w="24035">
                <a:noFill/>
              </a:ln>
            </c:spPr>
            <c:txPr>
              <a:bodyPr/>
              <a:lstStyle/>
              <a:p>
                <a:pPr>
                  <a:defRPr sz="875"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2020</c:v>
                </c:pt>
                <c:pt idx="1">
                  <c:v>2021</c:v>
                </c:pt>
                <c:pt idx="2">
                  <c:v>2022</c:v>
                </c:pt>
                <c:pt idx="3">
                  <c:v>2023</c:v>
                </c:pt>
                <c:pt idx="4">
                  <c:v>2024</c:v>
                </c:pt>
              </c:numCache>
            </c:numRef>
          </c:cat>
          <c:val>
            <c:numRef>
              <c:f>Sheet1!$B$3:$F$3</c:f>
              <c:numCache>
                <c:formatCode>0.0</c:formatCode>
                <c:ptCount val="5"/>
                <c:pt idx="0" formatCode="General">
                  <c:v>31.3</c:v>
                </c:pt>
                <c:pt idx="1">
                  <c:v>32.799999999999997</c:v>
                </c:pt>
                <c:pt idx="2">
                  <c:v>39.1</c:v>
                </c:pt>
                <c:pt idx="3">
                  <c:v>53</c:v>
                </c:pt>
                <c:pt idx="4">
                  <c:v>46.5</c:v>
                </c:pt>
              </c:numCache>
            </c:numRef>
          </c:val>
          <c:extLst>
            <c:ext xmlns:c16="http://schemas.microsoft.com/office/drawing/2014/chart" uri="{C3380CC4-5D6E-409C-BE32-E72D297353CC}">
              <c16:uniqueId val="{00000003-D6A7-472B-B140-4CAB9C20CA82}"/>
            </c:ext>
          </c:extLst>
        </c:ser>
        <c:dLbls>
          <c:showLegendKey val="0"/>
          <c:showVal val="0"/>
          <c:showCatName val="0"/>
          <c:showSerName val="0"/>
          <c:showPercent val="0"/>
          <c:showBubbleSize val="0"/>
        </c:dLbls>
        <c:gapWidth val="150"/>
        <c:axId val="120122752"/>
        <c:axId val="120712576"/>
      </c:barChart>
      <c:catAx>
        <c:axId val="120122752"/>
        <c:scaling>
          <c:orientation val="minMax"/>
        </c:scaling>
        <c:delete val="0"/>
        <c:axPos val="b"/>
        <c:numFmt formatCode="General" sourceLinked="1"/>
        <c:majorTickMark val="out"/>
        <c:minorTickMark val="none"/>
        <c:tickLblPos val="nextTo"/>
        <c:spPr>
          <a:ln w="3004">
            <a:solidFill>
              <a:srgbClr val="000000"/>
            </a:solidFill>
            <a:prstDash val="solid"/>
          </a:ln>
        </c:spPr>
        <c:txPr>
          <a:bodyPr rot="0" vert="horz"/>
          <a:lstStyle/>
          <a:p>
            <a:pPr>
              <a:defRPr sz="875" b="0" i="0" u="none" strike="noStrike" baseline="0">
                <a:solidFill>
                  <a:srgbClr val="000000"/>
                </a:solidFill>
                <a:latin typeface="Times New Roman"/>
                <a:ea typeface="Times New Roman"/>
                <a:cs typeface="Times New Roman"/>
              </a:defRPr>
            </a:pPr>
            <a:endParaRPr lang="ru-RU"/>
          </a:p>
        </c:txPr>
        <c:crossAx val="120712576"/>
        <c:crosses val="autoZero"/>
        <c:auto val="1"/>
        <c:lblAlgn val="ctr"/>
        <c:lblOffset val="100"/>
        <c:tickLblSkip val="1"/>
        <c:tickMarkSkip val="1"/>
        <c:noMultiLvlLbl val="0"/>
      </c:catAx>
      <c:valAx>
        <c:axId val="120712576"/>
        <c:scaling>
          <c:orientation val="minMax"/>
          <c:min val="-10"/>
        </c:scaling>
        <c:delete val="0"/>
        <c:axPos val="l"/>
        <c:numFmt formatCode="General" sourceLinked="1"/>
        <c:majorTickMark val="out"/>
        <c:minorTickMark val="none"/>
        <c:tickLblPos val="nextTo"/>
        <c:spPr>
          <a:ln w="3004">
            <a:solidFill>
              <a:srgbClr val="000000"/>
            </a:solidFill>
            <a:prstDash val="solid"/>
          </a:ln>
        </c:spPr>
        <c:txPr>
          <a:bodyPr rot="0" vert="horz"/>
          <a:lstStyle/>
          <a:p>
            <a:pPr>
              <a:defRPr sz="875" b="0" i="0" u="none" strike="noStrike" baseline="0">
                <a:solidFill>
                  <a:srgbClr val="000000"/>
                </a:solidFill>
                <a:latin typeface="Times New Roman"/>
                <a:ea typeface="Times New Roman"/>
                <a:cs typeface="Times New Roman"/>
              </a:defRPr>
            </a:pPr>
            <a:endParaRPr lang="ru-RU"/>
          </a:p>
        </c:txPr>
        <c:crossAx val="120122752"/>
        <c:crosses val="autoZero"/>
        <c:crossBetween val="between"/>
      </c:valAx>
      <c:spPr>
        <a:solidFill>
          <a:srgbClr val="FFFFFF"/>
        </a:solidFill>
        <a:ln w="24035">
          <a:noFill/>
        </a:ln>
      </c:spPr>
    </c:plotArea>
    <c:legend>
      <c:legendPos val="b"/>
      <c:layout>
        <c:manualLayout>
          <c:xMode val="edge"/>
          <c:yMode val="edge"/>
          <c:x val="6.8106416452427584E-2"/>
          <c:y val="0.7570848584590244"/>
          <c:w val="0.86544841684794682"/>
          <c:h val="0.21052636413868986"/>
        </c:manualLayout>
      </c:layout>
      <c:overlay val="0"/>
      <c:spPr>
        <a:solidFill>
          <a:srgbClr val="FFFFFF"/>
        </a:solidFill>
        <a:ln w="24035">
          <a:noFill/>
        </a:ln>
      </c:spPr>
      <c:txPr>
        <a:bodyPr/>
        <a:lstStyle/>
        <a:p>
          <a:pPr>
            <a:defRPr sz="780"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75" b="0" i="0" u="none" strike="noStrike" baseline="0">
          <a:solidFill>
            <a:srgbClr val="000000"/>
          </a:solidFill>
          <a:latin typeface="Times New Roman"/>
          <a:ea typeface="Times New Roman"/>
          <a:cs typeface="Times New Roman"/>
        </a:defRPr>
      </a:pPr>
      <a:endParaRPr lang="ru-RU"/>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31"/>
      <c:rotY val="10"/>
      <c:depthPercent val="500"/>
      <c:rAngAx val="1"/>
    </c:view3D>
    <c:floor>
      <c:thickness val="0"/>
      <c:spPr>
        <a:noFill/>
        <a:ln w="9525">
          <a:noFill/>
        </a:ln>
      </c:spPr>
    </c:floor>
    <c:sideWall>
      <c:thickness val="0"/>
      <c:spPr>
        <a:noFill/>
        <a:ln w="25400">
          <a:noFill/>
        </a:ln>
      </c:spPr>
    </c:sideWall>
    <c:backWall>
      <c:thickness val="0"/>
      <c:spPr>
        <a:noFill/>
        <a:ln w="25400">
          <a:noFill/>
        </a:ln>
      </c:spPr>
    </c:backWall>
    <c:plotArea>
      <c:layout>
        <c:manualLayout>
          <c:layoutTarget val="inner"/>
          <c:xMode val="edge"/>
          <c:yMode val="edge"/>
          <c:x val="7.177814029363784E-2"/>
          <c:y val="9.4339622641509524E-2"/>
          <c:w val="0.9119086460032626"/>
          <c:h val="0.74056603773584906"/>
        </c:manualLayout>
      </c:layout>
      <c:bar3DChart>
        <c:barDir val="col"/>
        <c:grouping val="clustered"/>
        <c:varyColors val="0"/>
        <c:ser>
          <c:idx val="1"/>
          <c:order val="0"/>
          <c:tx>
            <c:strRef>
              <c:f>Sheet1!$A$2</c:f>
              <c:strCache>
                <c:ptCount val="1"/>
                <c:pt idx="0">
                  <c:v>Импорт</c:v>
                </c:pt>
              </c:strCache>
            </c:strRef>
          </c:tx>
          <c:spPr>
            <a:solidFill>
              <a:srgbClr val="993366"/>
            </a:solidFill>
            <a:ln w="10870">
              <a:solidFill>
                <a:srgbClr val="000000"/>
              </a:solidFill>
              <a:prstDash val="solid"/>
            </a:ln>
          </c:spPr>
          <c:invertIfNegative val="0"/>
          <c:dLbls>
            <c:dLbl>
              <c:idx val="0"/>
              <c:layout>
                <c:manualLayout>
                  <c:x val="-9.2045328452791068E-3"/>
                  <c:y val="-0.1157773005085922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FAA-4687-9BF8-510BEE081D0A}"/>
                </c:ext>
              </c:extLst>
            </c:dLbl>
            <c:dLbl>
              <c:idx val="1"/>
              <c:layout>
                <c:manualLayout>
                  <c:x val="3.2751467436934289E-3"/>
                  <c:y val="-0.1501237131443929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FAA-4687-9BF8-510BEE081D0A}"/>
                </c:ext>
              </c:extLst>
            </c:dLbl>
            <c:dLbl>
              <c:idx val="2"/>
              <c:layout>
                <c:manualLayout>
                  <c:x val="-8.9573195793948741E-3"/>
                  <c:y val="-0.1237190722511737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FAA-4687-9BF8-510BEE081D0A}"/>
                </c:ext>
              </c:extLst>
            </c:dLbl>
            <c:dLbl>
              <c:idx val="3"/>
              <c:layout>
                <c:manualLayout>
                  <c:x val="-9.5282109529022073E-3"/>
                  <c:y val="-0.1567973978458218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FAA-4687-9BF8-510BEE081D0A}"/>
                </c:ext>
              </c:extLst>
            </c:dLbl>
            <c:dLbl>
              <c:idx val="4"/>
              <c:layout>
                <c:manualLayout>
                  <c:x val="-6.5939656418768124E-3"/>
                  <c:y val="-0.1279376387181470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FAA-4687-9BF8-510BEE081D0A}"/>
                </c:ext>
              </c:extLst>
            </c:dLbl>
            <c:spPr>
              <a:noFill/>
              <a:ln w="21739">
                <a:noFill/>
              </a:ln>
            </c:spPr>
            <c:txPr>
              <a:bodyPr/>
              <a:lstStyle/>
              <a:p>
                <a:pPr>
                  <a:defRPr sz="751"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2020</c:v>
                </c:pt>
                <c:pt idx="1">
                  <c:v>2021</c:v>
                </c:pt>
                <c:pt idx="2">
                  <c:v>2022</c:v>
                </c:pt>
                <c:pt idx="3">
                  <c:v>2023</c:v>
                </c:pt>
                <c:pt idx="4">
                  <c:v>2024</c:v>
                </c:pt>
              </c:numCache>
            </c:numRef>
          </c:cat>
          <c:val>
            <c:numRef>
              <c:f>Sheet1!$B$2:$F$2</c:f>
              <c:numCache>
                <c:formatCode>0.0</c:formatCode>
                <c:ptCount val="5"/>
                <c:pt idx="0">
                  <c:v>27.4</c:v>
                </c:pt>
                <c:pt idx="1">
                  <c:v>37.299999999999997</c:v>
                </c:pt>
                <c:pt idx="2">
                  <c:v>44.9</c:v>
                </c:pt>
                <c:pt idx="3">
                  <c:v>45.3</c:v>
                </c:pt>
                <c:pt idx="4">
                  <c:v>42.9</c:v>
                </c:pt>
              </c:numCache>
            </c:numRef>
          </c:val>
          <c:extLst>
            <c:ext xmlns:c16="http://schemas.microsoft.com/office/drawing/2014/chart" uri="{C3380CC4-5D6E-409C-BE32-E72D297353CC}">
              <c16:uniqueId val="{00000005-0FAA-4687-9BF8-510BEE081D0A}"/>
            </c:ext>
          </c:extLst>
        </c:ser>
        <c:ser>
          <c:idx val="2"/>
          <c:order val="1"/>
          <c:tx>
            <c:strRef>
              <c:f>Sheet1!$A$3</c:f>
              <c:strCache>
                <c:ptCount val="1"/>
                <c:pt idx="0">
                  <c:v>Экспорт</c:v>
                </c:pt>
              </c:strCache>
            </c:strRef>
          </c:tx>
          <c:spPr>
            <a:solidFill>
              <a:srgbClr val="FFFFFF"/>
            </a:solidFill>
            <a:ln w="10870">
              <a:solidFill>
                <a:srgbClr val="000000"/>
              </a:solidFill>
              <a:prstDash val="solid"/>
            </a:ln>
          </c:spPr>
          <c:invertIfNegative val="0"/>
          <c:dLbls>
            <c:dLbl>
              <c:idx val="0"/>
              <c:layout>
                <c:manualLayout>
                  <c:x val="4.8884481146064113E-2"/>
                  <c:y val="-0.1744769121927025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0FAA-4687-9BF8-510BEE081D0A}"/>
                </c:ext>
              </c:extLst>
            </c:dLbl>
            <c:dLbl>
              <c:idx val="1"/>
              <c:layout>
                <c:manualLayout>
                  <c:x val="3.8525661550696817E-2"/>
                  <c:y val="-0.1684323863493548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FAA-4687-9BF8-510BEE081D0A}"/>
                </c:ext>
              </c:extLst>
            </c:dLbl>
            <c:dLbl>
              <c:idx val="2"/>
              <c:layout>
                <c:manualLayout>
                  <c:x val="5.1005341139669057E-2"/>
                  <c:y val="-0.1665351404501269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0FAA-4687-9BF8-510BEE081D0A}"/>
                </c:ext>
              </c:extLst>
            </c:dLbl>
            <c:dLbl>
              <c:idx val="3"/>
              <c:layout>
                <c:manualLayout>
                  <c:x val="4.2277842914611952E-2"/>
                  <c:y val="-0.19006058844038309"/>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0FAA-4687-9BF8-510BEE081D0A}"/>
                </c:ext>
              </c:extLst>
            </c:dLbl>
            <c:dLbl>
              <c:idx val="4"/>
              <c:layout>
                <c:manualLayout>
                  <c:x val="4.9863558392654397E-2"/>
                  <c:y val="-0.1717505362472944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0FAA-4687-9BF8-510BEE081D0A}"/>
                </c:ext>
              </c:extLst>
            </c:dLbl>
            <c:spPr>
              <a:noFill/>
              <a:ln w="21739">
                <a:noFill/>
              </a:ln>
            </c:spPr>
            <c:txPr>
              <a:bodyPr/>
              <a:lstStyle/>
              <a:p>
                <a:pPr>
                  <a:defRPr sz="751"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2020</c:v>
                </c:pt>
                <c:pt idx="1">
                  <c:v>2021</c:v>
                </c:pt>
                <c:pt idx="2">
                  <c:v>2022</c:v>
                </c:pt>
                <c:pt idx="3">
                  <c:v>2023</c:v>
                </c:pt>
                <c:pt idx="4">
                  <c:v>2024</c:v>
                </c:pt>
              </c:numCache>
            </c:numRef>
          </c:cat>
          <c:val>
            <c:numRef>
              <c:f>Sheet1!$B$3:$F$3</c:f>
              <c:numCache>
                <c:formatCode>0.0</c:formatCode>
                <c:ptCount val="5"/>
                <c:pt idx="0">
                  <c:v>72.599999999999994</c:v>
                </c:pt>
                <c:pt idx="1">
                  <c:v>62.7</c:v>
                </c:pt>
                <c:pt idx="2">
                  <c:v>55.1</c:v>
                </c:pt>
                <c:pt idx="3">
                  <c:v>54.7</c:v>
                </c:pt>
                <c:pt idx="4">
                  <c:v>57.1</c:v>
                </c:pt>
              </c:numCache>
            </c:numRef>
          </c:val>
          <c:extLst>
            <c:ext xmlns:c16="http://schemas.microsoft.com/office/drawing/2014/chart" uri="{C3380CC4-5D6E-409C-BE32-E72D297353CC}">
              <c16:uniqueId val="{0000000B-0FAA-4687-9BF8-510BEE081D0A}"/>
            </c:ext>
          </c:extLst>
        </c:ser>
        <c:dLbls>
          <c:showLegendKey val="0"/>
          <c:showVal val="0"/>
          <c:showCatName val="0"/>
          <c:showSerName val="0"/>
          <c:showPercent val="0"/>
          <c:showBubbleSize val="0"/>
        </c:dLbls>
        <c:gapWidth val="150"/>
        <c:gapDepth val="0"/>
        <c:shape val="box"/>
        <c:axId val="122137600"/>
        <c:axId val="122144256"/>
        <c:axId val="0"/>
      </c:bar3DChart>
      <c:catAx>
        <c:axId val="122137600"/>
        <c:scaling>
          <c:orientation val="minMax"/>
        </c:scaling>
        <c:delete val="0"/>
        <c:axPos val="b"/>
        <c:numFmt formatCode="General" sourceLinked="1"/>
        <c:majorTickMark val="out"/>
        <c:minorTickMark val="none"/>
        <c:tickLblPos val="low"/>
        <c:spPr>
          <a:ln w="8152">
            <a:noFill/>
          </a:ln>
        </c:spPr>
        <c:txPr>
          <a:bodyPr rot="0" vert="horz"/>
          <a:lstStyle/>
          <a:p>
            <a:pPr>
              <a:defRPr sz="751" b="0" i="0" u="none" strike="noStrike" baseline="0">
                <a:solidFill>
                  <a:srgbClr val="000000"/>
                </a:solidFill>
                <a:latin typeface="Times New Roman"/>
                <a:ea typeface="Times New Roman"/>
                <a:cs typeface="Times New Roman"/>
              </a:defRPr>
            </a:pPr>
            <a:endParaRPr lang="ru-RU"/>
          </a:p>
        </c:txPr>
        <c:crossAx val="122144256"/>
        <c:crosses val="autoZero"/>
        <c:auto val="1"/>
        <c:lblAlgn val="ctr"/>
        <c:lblOffset val="100"/>
        <c:tickLblSkip val="1"/>
        <c:tickMarkSkip val="1"/>
        <c:noMultiLvlLbl val="0"/>
      </c:catAx>
      <c:valAx>
        <c:axId val="122144256"/>
        <c:scaling>
          <c:orientation val="minMax"/>
        </c:scaling>
        <c:delete val="0"/>
        <c:axPos val="l"/>
        <c:numFmt formatCode="0.0" sourceLinked="1"/>
        <c:majorTickMark val="out"/>
        <c:minorTickMark val="none"/>
        <c:tickLblPos val="nextTo"/>
        <c:spPr>
          <a:ln w="2717">
            <a:solidFill>
              <a:srgbClr val="000000"/>
            </a:solidFill>
            <a:prstDash val="solid"/>
          </a:ln>
        </c:spPr>
        <c:txPr>
          <a:bodyPr rot="0" vert="horz"/>
          <a:lstStyle/>
          <a:p>
            <a:pPr>
              <a:defRPr sz="751" b="0" i="0" u="none" strike="noStrike" baseline="0">
                <a:solidFill>
                  <a:srgbClr val="000000"/>
                </a:solidFill>
                <a:latin typeface="Times New Roman"/>
                <a:ea typeface="Times New Roman"/>
                <a:cs typeface="Times New Roman"/>
              </a:defRPr>
            </a:pPr>
            <a:endParaRPr lang="ru-RU"/>
          </a:p>
        </c:txPr>
        <c:crossAx val="122137600"/>
        <c:crosses val="autoZero"/>
        <c:crossBetween val="between"/>
      </c:valAx>
      <c:spPr>
        <a:noFill/>
        <a:ln w="21799">
          <a:noFill/>
        </a:ln>
      </c:spPr>
    </c:plotArea>
    <c:legend>
      <c:legendPos val="r"/>
      <c:layout>
        <c:manualLayout>
          <c:xMode val="edge"/>
          <c:yMode val="edge"/>
          <c:x val="0.89233282872803532"/>
          <c:y val="0.1933967590993825"/>
          <c:w val="0.10603597175922586"/>
          <c:h val="0.45282974606234938"/>
        </c:manualLayout>
      </c:layout>
      <c:overlay val="0"/>
      <c:spPr>
        <a:noFill/>
        <a:ln w="21739">
          <a:noFill/>
        </a:ln>
      </c:spPr>
      <c:txPr>
        <a:bodyPr/>
        <a:lstStyle/>
        <a:p>
          <a:pPr>
            <a:defRPr sz="689"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751" b="0" i="0" u="none" strike="noStrike" baseline="0">
          <a:solidFill>
            <a:srgbClr val="000000"/>
          </a:solidFill>
          <a:latin typeface="Times New Roman"/>
          <a:ea typeface="Times New Roman"/>
          <a:cs typeface="Times New Roman"/>
        </a:defRPr>
      </a:pPr>
      <a:endParaRPr lang="ru-RU"/>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manualLayout>
          <c:layoutTarget val="inner"/>
          <c:xMode val="edge"/>
          <c:yMode val="edge"/>
          <c:x val="0.1150486716694004"/>
          <c:y val="2.421634795650569E-2"/>
          <c:w val="0.85948840985813901"/>
          <c:h val="0.82705005624296968"/>
        </c:manualLayout>
      </c:layout>
      <c:barChart>
        <c:barDir val="col"/>
        <c:grouping val="clustered"/>
        <c:varyColors val="0"/>
        <c:ser>
          <c:idx val="0"/>
          <c:order val="0"/>
          <c:tx>
            <c:strRef>
              <c:f>Лист1!$B$1</c:f>
              <c:strCache>
                <c:ptCount val="1"/>
                <c:pt idx="0">
                  <c:v>Ряд 1</c:v>
                </c:pt>
              </c:strCache>
            </c:strRef>
          </c:tx>
          <c:invertIfNegative val="0"/>
          <c:cat>
            <c:numRef>
              <c:f>Лист1!$A$2:$A$6</c:f>
              <c:numCache>
                <c:formatCode>General</c:formatCode>
                <c:ptCount val="5"/>
                <c:pt idx="0">
                  <c:v>2020</c:v>
                </c:pt>
                <c:pt idx="1">
                  <c:v>2021</c:v>
                </c:pt>
                <c:pt idx="2">
                  <c:v>2022</c:v>
                </c:pt>
                <c:pt idx="3">
                  <c:v>2023</c:v>
                </c:pt>
                <c:pt idx="4">
                  <c:v>2024</c:v>
                </c:pt>
              </c:numCache>
            </c:numRef>
          </c:cat>
          <c:val>
            <c:numRef>
              <c:f>Лист1!$B$2:$B$6</c:f>
              <c:numCache>
                <c:formatCode>General</c:formatCode>
                <c:ptCount val="5"/>
                <c:pt idx="0">
                  <c:v>33985</c:v>
                </c:pt>
                <c:pt idx="1">
                  <c:v>35296</c:v>
                </c:pt>
                <c:pt idx="2">
                  <c:v>39172</c:v>
                </c:pt>
                <c:pt idx="3">
                  <c:v>38318</c:v>
                </c:pt>
                <c:pt idx="4">
                  <c:v>46316</c:v>
                </c:pt>
              </c:numCache>
            </c:numRef>
          </c:val>
          <c:extLst>
            <c:ext xmlns:c16="http://schemas.microsoft.com/office/drawing/2014/chart" uri="{C3380CC4-5D6E-409C-BE32-E72D297353CC}">
              <c16:uniqueId val="{00000000-201D-4A87-BA76-FB1E7BEBE806}"/>
            </c:ext>
          </c:extLst>
        </c:ser>
        <c:dLbls>
          <c:showLegendKey val="0"/>
          <c:showVal val="0"/>
          <c:showCatName val="0"/>
          <c:showSerName val="0"/>
          <c:showPercent val="0"/>
          <c:showBubbleSize val="0"/>
        </c:dLbls>
        <c:gapWidth val="150"/>
        <c:axId val="125576320"/>
        <c:axId val="125581952"/>
      </c:barChart>
      <c:catAx>
        <c:axId val="125576320"/>
        <c:scaling>
          <c:orientation val="minMax"/>
        </c:scaling>
        <c:delete val="0"/>
        <c:axPos val="b"/>
        <c:numFmt formatCode="General" sourceLinked="1"/>
        <c:majorTickMark val="out"/>
        <c:minorTickMark val="none"/>
        <c:tickLblPos val="nextTo"/>
        <c:crossAx val="125581952"/>
        <c:crosses val="autoZero"/>
        <c:auto val="1"/>
        <c:lblAlgn val="ctr"/>
        <c:lblOffset val="100"/>
        <c:noMultiLvlLbl val="0"/>
      </c:catAx>
      <c:valAx>
        <c:axId val="125581952"/>
        <c:scaling>
          <c:orientation val="minMax"/>
        </c:scaling>
        <c:delete val="0"/>
        <c:axPos val="l"/>
        <c:majorGridlines/>
        <c:numFmt formatCode="General" sourceLinked="1"/>
        <c:majorTickMark val="out"/>
        <c:minorTickMark val="none"/>
        <c:tickLblPos val="nextTo"/>
        <c:crossAx val="125576320"/>
        <c:crosses val="autoZero"/>
        <c:crossBetween val="between"/>
      </c:valAx>
    </c:plotArea>
    <c:plotVisOnly val="1"/>
    <c:dispBlanksAs val="gap"/>
    <c:showDLblsOverMax val="0"/>
  </c:chart>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Лист1!$B$1</c:f>
              <c:strCache>
                <c:ptCount val="1"/>
                <c:pt idx="0">
                  <c:v>Ряд 1</c:v>
                </c:pt>
              </c:strCache>
            </c:strRef>
          </c:tx>
          <c:invertIfNegative val="0"/>
          <c:dLbls>
            <c:dLbl>
              <c:idx val="0"/>
              <c:layout>
                <c:manualLayout>
                  <c:x val="5.3695576943119504E-3"/>
                  <c:y val="-0.1861111122418532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FAC-4B00-AD19-FD7D1C1A6DBC}"/>
                </c:ext>
              </c:extLst>
            </c:dLbl>
            <c:dLbl>
              <c:idx val="1"/>
              <c:layout>
                <c:manualLayout>
                  <c:x val="8.0543365414681069E-3"/>
                  <c:y val="-0.2222993840666589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FAC-4B00-AD19-FD7D1C1A6DBC}"/>
                </c:ext>
              </c:extLst>
            </c:dLbl>
            <c:dLbl>
              <c:idx val="2"/>
              <c:layout>
                <c:manualLayout>
                  <c:x val="8.0543365414681069E-3"/>
                  <c:y val="-0.2636574090092920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FAC-4B00-AD19-FD7D1C1A6DBC}"/>
                </c:ext>
              </c:extLst>
            </c:dLbl>
            <c:dLbl>
              <c:idx val="3"/>
              <c:layout>
                <c:manualLayout>
                  <c:x val="5.3695576943119504E-3"/>
                  <c:y val="-0.3101851870697631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FAC-4B00-AD19-FD7D1C1A6DBC}"/>
                </c:ext>
              </c:extLst>
            </c:dLbl>
            <c:dLbl>
              <c:idx val="4"/>
              <c:layout>
                <c:manualLayout>
                  <c:x val="1.3423894235779821E-2"/>
                  <c:y val="-0.3205246933054244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FAC-4B00-AD19-FD7D1C1A6DBC}"/>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Лист1!$A$2:$A$6</c:f>
              <c:numCache>
                <c:formatCode>General</c:formatCode>
                <c:ptCount val="5"/>
                <c:pt idx="0">
                  <c:v>2020</c:v>
                </c:pt>
                <c:pt idx="1">
                  <c:v>2021</c:v>
                </c:pt>
                <c:pt idx="2">
                  <c:v>2022</c:v>
                </c:pt>
                <c:pt idx="3">
                  <c:v>2023</c:v>
                </c:pt>
                <c:pt idx="4">
                  <c:v>2024</c:v>
                </c:pt>
              </c:numCache>
            </c:numRef>
          </c:cat>
          <c:val>
            <c:numRef>
              <c:f>Лист1!$B$2:$B$6</c:f>
              <c:numCache>
                <c:formatCode>General</c:formatCode>
                <c:ptCount val="5"/>
                <c:pt idx="0">
                  <c:v>261451</c:v>
                </c:pt>
                <c:pt idx="1">
                  <c:v>271803</c:v>
                </c:pt>
                <c:pt idx="2">
                  <c:v>276775</c:v>
                </c:pt>
                <c:pt idx="3">
                  <c:v>284575</c:v>
                </c:pt>
                <c:pt idx="4">
                  <c:v>291900</c:v>
                </c:pt>
              </c:numCache>
            </c:numRef>
          </c:val>
          <c:extLst>
            <c:ext xmlns:c16="http://schemas.microsoft.com/office/drawing/2014/chart" uri="{C3380CC4-5D6E-409C-BE32-E72D297353CC}">
              <c16:uniqueId val="{00000005-2FAC-4B00-AD19-FD7D1C1A6DBC}"/>
            </c:ext>
          </c:extLst>
        </c:ser>
        <c:dLbls>
          <c:showLegendKey val="0"/>
          <c:showVal val="0"/>
          <c:showCatName val="0"/>
          <c:showSerName val="0"/>
          <c:showPercent val="0"/>
          <c:showBubbleSize val="0"/>
        </c:dLbls>
        <c:gapWidth val="150"/>
        <c:shape val="cylinder"/>
        <c:axId val="47940736"/>
        <c:axId val="47942272"/>
        <c:axId val="0"/>
      </c:bar3DChart>
      <c:catAx>
        <c:axId val="47940736"/>
        <c:scaling>
          <c:orientation val="minMax"/>
        </c:scaling>
        <c:delete val="0"/>
        <c:axPos val="b"/>
        <c:numFmt formatCode="General" sourceLinked="1"/>
        <c:majorTickMark val="out"/>
        <c:minorTickMark val="none"/>
        <c:tickLblPos val="nextTo"/>
        <c:crossAx val="47942272"/>
        <c:crosses val="autoZero"/>
        <c:auto val="1"/>
        <c:lblAlgn val="ctr"/>
        <c:lblOffset val="100"/>
        <c:noMultiLvlLbl val="0"/>
      </c:catAx>
      <c:valAx>
        <c:axId val="47942272"/>
        <c:scaling>
          <c:orientation val="minMax"/>
        </c:scaling>
        <c:delete val="0"/>
        <c:axPos val="l"/>
        <c:numFmt formatCode="General" sourceLinked="1"/>
        <c:majorTickMark val="out"/>
        <c:minorTickMark val="none"/>
        <c:tickLblPos val="nextTo"/>
        <c:crossAx val="47940736"/>
        <c:crosses val="autoZero"/>
        <c:crossBetween val="between"/>
      </c:valAx>
    </c:plotArea>
    <c:legend>
      <c:legendPos val="r"/>
      <c:overlay val="0"/>
    </c:legend>
    <c:plotVisOnly val="1"/>
    <c:dispBlanksAs val="gap"/>
    <c:showDLblsOverMax val="0"/>
  </c:chart>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xPr>
        <a:bodyPr/>
        <a:lstStyle/>
        <a:p>
          <a:pPr>
            <a:defRPr sz="1024" b="0" i="0" u="none" strike="noStrike" baseline="0">
              <a:solidFill>
                <a:srgbClr val="000000"/>
              </a:solidFill>
              <a:latin typeface="Times New Roman"/>
              <a:ea typeface="Times New Roman"/>
              <a:cs typeface="Times New Roman"/>
            </a:defRPr>
          </a:pPr>
          <a:endParaRPr lang="ru-RU"/>
        </a:p>
      </c:txPr>
    </c:title>
    <c:autoTitleDeleted val="0"/>
    <c:plotArea>
      <c:layout>
        <c:manualLayout>
          <c:layoutTarget val="inner"/>
          <c:xMode val="edge"/>
          <c:yMode val="edge"/>
          <c:x val="8.3333333333333343E-2"/>
          <c:y val="7.5555555555555556E-2"/>
          <c:w val="0.90602836879432558"/>
          <c:h val="0.72000000000000064"/>
        </c:manualLayout>
      </c:layout>
      <c:lineChart>
        <c:grouping val="standard"/>
        <c:varyColors val="0"/>
        <c:ser>
          <c:idx val="0"/>
          <c:order val="0"/>
          <c:tx>
            <c:strRef>
              <c:f>Sheet1!$A$2</c:f>
              <c:strCache>
                <c:ptCount val="1"/>
              </c:strCache>
            </c:strRef>
          </c:tx>
          <c:spPr>
            <a:ln w="12039">
              <a:solidFill>
                <a:srgbClr val="000080"/>
              </a:solidFill>
              <a:prstDash val="solid"/>
            </a:ln>
          </c:spPr>
          <c:marker>
            <c:symbol val="diamond"/>
            <c:size val="3"/>
            <c:spPr>
              <a:solidFill>
                <a:srgbClr val="000080"/>
              </a:solidFill>
              <a:ln>
                <a:solidFill>
                  <a:srgbClr val="000080"/>
                </a:solidFill>
                <a:prstDash val="solid"/>
              </a:ln>
            </c:spPr>
          </c:marker>
          <c:dLbls>
            <c:dLbl>
              <c:idx val="0"/>
              <c:layout>
                <c:manualLayout>
                  <c:x val="-4.2456938976377978E-2"/>
                  <c:y val="-8.8889028036505377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8.5390501968503937E-2"/>
                      <c:h val="0.10182933892706751"/>
                    </c:manualLayout>
                  </c15:layout>
                </c:ext>
                <c:ext xmlns:c16="http://schemas.microsoft.com/office/drawing/2014/chart" uri="{C3380CC4-5D6E-409C-BE32-E72D297353CC}">
                  <c16:uniqueId val="{00000000-10DA-4A36-8D49-5F44BA0C32D8}"/>
                </c:ext>
              </c:extLst>
            </c:dLbl>
            <c:dLbl>
              <c:idx val="1"/>
              <c:layout>
                <c:manualLayout>
                  <c:x val="-6.1072834645669288E-2"/>
                  <c:y val="-0.13936600867237528"/>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0DA-4A36-8D49-5F44BA0C32D8}"/>
                </c:ext>
              </c:extLst>
            </c:dLbl>
            <c:dLbl>
              <c:idx val="2"/>
              <c:layout>
                <c:manualLayout>
                  <c:x val="-5.7104947941527331E-2"/>
                  <c:y val="-0.10048566109775998"/>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0DA-4A36-8D49-5F44BA0C32D8}"/>
                </c:ext>
              </c:extLst>
            </c:dLbl>
            <c:dLbl>
              <c:idx val="3"/>
              <c:layout>
                <c:manualLayout>
                  <c:x val="-5.0726131889764034E-2"/>
                  <c:y val="-0.22313113445312391"/>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0DA-4A36-8D49-5F44BA0C32D8}"/>
                </c:ext>
              </c:extLst>
            </c:dLbl>
            <c:dLbl>
              <c:idx val="4"/>
              <c:layout>
                <c:manualLayout>
                  <c:x val="-2.9477166417515362E-2"/>
                  <c:y val="-6.09423834235777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10DA-4A36-8D49-5F44BA0C32D8}"/>
                </c:ext>
              </c:extLst>
            </c:dLbl>
            <c:spPr>
              <a:noFill/>
              <a:ln w="24077">
                <a:noFill/>
              </a:ln>
            </c:spPr>
            <c:txPr>
              <a:bodyPr/>
              <a:lstStyle/>
              <a:p>
                <a:pPr>
                  <a:defRPr sz="853"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2020</c:v>
                </c:pt>
                <c:pt idx="1">
                  <c:v>2021</c:v>
                </c:pt>
                <c:pt idx="2">
                  <c:v>2022</c:v>
                </c:pt>
                <c:pt idx="3">
                  <c:v>2023</c:v>
                </c:pt>
                <c:pt idx="4">
                  <c:v>2024</c:v>
                </c:pt>
              </c:numCache>
            </c:numRef>
          </c:cat>
          <c:val>
            <c:numRef>
              <c:f>Sheet1!$B$2:$F$2</c:f>
              <c:numCache>
                <c:formatCode>General</c:formatCode>
                <c:ptCount val="5"/>
                <c:pt idx="0">
                  <c:v>29018</c:v>
                </c:pt>
                <c:pt idx="1">
                  <c:v>72113</c:v>
                </c:pt>
                <c:pt idx="2">
                  <c:v>79046</c:v>
                </c:pt>
                <c:pt idx="3">
                  <c:v>139349</c:v>
                </c:pt>
                <c:pt idx="4">
                  <c:v>134157</c:v>
                </c:pt>
              </c:numCache>
            </c:numRef>
          </c:val>
          <c:smooth val="0"/>
          <c:extLst>
            <c:ext xmlns:c16="http://schemas.microsoft.com/office/drawing/2014/chart" uri="{C3380CC4-5D6E-409C-BE32-E72D297353CC}">
              <c16:uniqueId val="{00000005-10DA-4A36-8D49-5F44BA0C32D8}"/>
            </c:ext>
          </c:extLst>
        </c:ser>
        <c:dLbls>
          <c:showLegendKey val="0"/>
          <c:showVal val="0"/>
          <c:showCatName val="0"/>
          <c:showSerName val="0"/>
          <c:showPercent val="0"/>
          <c:showBubbleSize val="0"/>
        </c:dLbls>
        <c:marker val="1"/>
        <c:smooth val="0"/>
        <c:axId val="42035456"/>
        <c:axId val="42651648"/>
      </c:lineChart>
      <c:catAx>
        <c:axId val="42035456"/>
        <c:scaling>
          <c:orientation val="minMax"/>
        </c:scaling>
        <c:delete val="0"/>
        <c:axPos val="b"/>
        <c:numFmt formatCode="General" sourceLinked="1"/>
        <c:majorTickMark val="out"/>
        <c:minorTickMark val="none"/>
        <c:tickLblPos val="nextTo"/>
        <c:spPr>
          <a:ln w="3009">
            <a:solidFill>
              <a:srgbClr val="000000"/>
            </a:solidFill>
            <a:prstDash val="solid"/>
          </a:ln>
        </c:spPr>
        <c:txPr>
          <a:bodyPr rot="0" vert="horz"/>
          <a:lstStyle/>
          <a:p>
            <a:pPr>
              <a:defRPr sz="853" b="0" i="0" u="none" strike="noStrike" baseline="0">
                <a:solidFill>
                  <a:srgbClr val="000000"/>
                </a:solidFill>
                <a:latin typeface="Times New Roman"/>
                <a:ea typeface="Times New Roman"/>
                <a:cs typeface="Times New Roman"/>
              </a:defRPr>
            </a:pPr>
            <a:endParaRPr lang="ru-RU"/>
          </a:p>
        </c:txPr>
        <c:crossAx val="42651648"/>
        <c:crosses val="autoZero"/>
        <c:auto val="1"/>
        <c:lblAlgn val="ctr"/>
        <c:lblOffset val="100"/>
        <c:tickLblSkip val="1"/>
        <c:tickMarkSkip val="1"/>
        <c:noMultiLvlLbl val="0"/>
      </c:catAx>
      <c:valAx>
        <c:axId val="42651648"/>
        <c:scaling>
          <c:orientation val="minMax"/>
          <c:min val="10000"/>
        </c:scaling>
        <c:delete val="0"/>
        <c:axPos val="l"/>
        <c:numFmt formatCode="General" sourceLinked="1"/>
        <c:majorTickMark val="out"/>
        <c:minorTickMark val="none"/>
        <c:tickLblPos val="nextTo"/>
        <c:spPr>
          <a:ln w="3009">
            <a:solidFill>
              <a:srgbClr val="000000"/>
            </a:solidFill>
            <a:prstDash val="solid"/>
          </a:ln>
        </c:spPr>
        <c:txPr>
          <a:bodyPr rot="0" vert="horz"/>
          <a:lstStyle/>
          <a:p>
            <a:pPr>
              <a:defRPr sz="853" b="0" i="0" u="none" strike="noStrike" baseline="0">
                <a:solidFill>
                  <a:srgbClr val="000000"/>
                </a:solidFill>
                <a:latin typeface="Times New Roman"/>
                <a:ea typeface="Times New Roman"/>
                <a:cs typeface="Times New Roman"/>
              </a:defRPr>
            </a:pPr>
            <a:endParaRPr lang="ru-RU"/>
          </a:p>
        </c:txPr>
        <c:crossAx val="42035456"/>
        <c:crosses val="autoZero"/>
        <c:crossBetween val="between"/>
      </c:valAx>
      <c:spPr>
        <a:noFill/>
        <a:ln w="24083">
          <a:noFill/>
        </a:ln>
      </c:spPr>
    </c:plotArea>
    <c:plotVisOnly val="1"/>
    <c:dispBlanksAs val="gap"/>
    <c:showDLblsOverMax val="0"/>
  </c:chart>
  <c:spPr>
    <a:noFill/>
    <a:ln>
      <a:noFill/>
    </a:ln>
  </c:spPr>
  <c:txPr>
    <a:bodyPr/>
    <a:lstStyle/>
    <a:p>
      <a:pPr>
        <a:defRPr sz="853" b="0" i="0" u="none" strike="noStrike" baseline="0">
          <a:solidFill>
            <a:srgbClr val="000000"/>
          </a:solidFill>
          <a:latin typeface="Times New Roman"/>
          <a:ea typeface="Times New Roman"/>
          <a:cs typeface="Times New Roman"/>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0" i="0" u="none" strike="noStrike" baseline="0">
                <a:solidFill>
                  <a:srgbClr val="000000"/>
                </a:solidFill>
                <a:latin typeface="Calibri"/>
                <a:ea typeface="Calibri"/>
                <a:cs typeface="Calibri"/>
              </a:defRPr>
            </a:pPr>
            <a:r>
              <a:rPr lang="ru-RU" sz="1000" b="0" i="0" strike="noStrike">
                <a:solidFill>
                  <a:srgbClr val="000000"/>
                </a:solidFill>
                <a:latin typeface="Times New Roman"/>
                <a:cs typeface="Times New Roman"/>
              </a:rPr>
              <a:t>2023-жыл   -   </a:t>
            </a:r>
            <a:r>
              <a:rPr lang="ru-RU" sz="1000" b="0" i="1" strike="noStrike">
                <a:solidFill>
                  <a:srgbClr val="000000"/>
                </a:solidFill>
                <a:latin typeface="Times New Roman"/>
                <a:cs typeface="Times New Roman"/>
              </a:rPr>
              <a:t>2023 год</a:t>
            </a:r>
          </a:p>
        </c:rich>
      </c:tx>
      <c:layout>
        <c:manualLayout>
          <c:xMode val="edge"/>
          <c:yMode val="edge"/>
          <c:x val="0.53366945114101161"/>
          <c:y val="2.1067026708395414E-2"/>
        </c:manualLayout>
      </c:layout>
      <c:overlay val="0"/>
      <c:spPr>
        <a:noFill/>
        <a:ln w="25375">
          <a:noFill/>
        </a:ln>
      </c:spPr>
    </c:title>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0.26506024096385788"/>
          <c:y val="0.25352112676056326"/>
          <c:w val="0.25"/>
          <c:h val="0.36971830985917925"/>
        </c:manualLayout>
      </c:layout>
      <c:pie3DChart>
        <c:varyColors val="1"/>
        <c:ser>
          <c:idx val="0"/>
          <c:order val="0"/>
          <c:tx>
            <c:strRef>
              <c:f>Лист1!$B$1</c:f>
              <c:strCache>
                <c:ptCount val="1"/>
                <c:pt idx="0">
                  <c:v>2022-жыл</c:v>
                </c:pt>
              </c:strCache>
            </c:strRef>
          </c:tx>
          <c:dPt>
            <c:idx val="6"/>
            <c:bubble3D val="0"/>
            <c:explosion val="6"/>
            <c:extLst>
              <c:ext xmlns:c16="http://schemas.microsoft.com/office/drawing/2014/chart" uri="{C3380CC4-5D6E-409C-BE32-E72D297353CC}">
                <c16:uniqueId val="{00000001-C311-46DC-B715-E2BACC87E1BE}"/>
              </c:ext>
            </c:extLst>
          </c:dPt>
          <c:dLbls>
            <c:dLbl>
              <c:idx val="0"/>
              <c:layout>
                <c:manualLayout>
                  <c:x val="7.7759315758849243E-2"/>
                  <c:y val="8.7655514189780001E-2"/>
                </c:manualLayout>
              </c:layout>
              <c:tx>
                <c:rich>
                  <a:bodyPr/>
                  <a:lstStyle/>
                  <a:p>
                    <a:r>
                      <a:rPr lang="ru-RU"/>
                      <a:t>Аксы р-н
36,7%</a:t>
                    </a:r>
                  </a:p>
                </c:rich>
              </c:tx>
              <c:dLblPos val="bestFit"/>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2-C311-46DC-B715-E2BACC87E1BE}"/>
                </c:ext>
              </c:extLst>
            </c:dLbl>
            <c:dLbl>
              <c:idx val="1"/>
              <c:layout>
                <c:manualLayout>
                  <c:x val="7.0909886264216973E-2"/>
                  <c:y val="-7.9133082884580347E-2"/>
                </c:manualLayout>
              </c:layout>
              <c:tx>
                <c:rich>
                  <a:bodyPr/>
                  <a:lstStyle/>
                  <a:p>
                    <a:r>
                      <a:rPr lang="ru-RU">
                        <a:solidFill>
                          <a:sysClr val="windowText" lastClr="000000"/>
                        </a:solidFill>
                      </a:rPr>
                      <a:t>    г. Таш-Көмүр</a:t>
                    </a:r>
                    <a:r>
                      <a:rPr lang="ru-RU" baseline="0">
                        <a:solidFill>
                          <a:sysClr val="windowText" lastClr="000000"/>
                        </a:solidFill>
                      </a:rPr>
                      <a:t> 2,6</a:t>
                    </a:r>
                  </a:p>
                  <a:p>
                    <a:r>
                      <a:rPr lang="ru-RU">
                        <a:solidFill>
                          <a:sysClr val="windowText" lastClr="000000"/>
                        </a:solidFill>
                      </a:rPr>
                      <a:t>%</a:t>
                    </a:r>
                  </a:p>
                </c:rich>
              </c:tx>
              <c:dLblPos val="bestFit"/>
              <c:showLegendKey val="0"/>
              <c:showVal val="0"/>
              <c:showCatName val="1"/>
              <c:showSerName val="0"/>
              <c:showPercent val="1"/>
              <c:showBubbleSize val="0"/>
              <c:extLst>
                <c:ext xmlns:c15="http://schemas.microsoft.com/office/drawing/2012/chart" uri="{CE6537A1-D6FC-4f65-9D91-7224C49458BB}">
                  <c15:layout>
                    <c:manualLayout>
                      <c:w val="0.19770723104056437"/>
                      <c:h val="0.19202363367799111"/>
                    </c:manualLayout>
                  </c15:layout>
                  <c15:showDataLabelsRange val="0"/>
                </c:ext>
                <c:ext xmlns:c16="http://schemas.microsoft.com/office/drawing/2014/chart" uri="{C3380CC4-5D6E-409C-BE32-E72D297353CC}">
                  <c16:uniqueId val="{00000003-C311-46DC-B715-E2BACC87E1BE}"/>
                </c:ext>
              </c:extLst>
            </c:dLbl>
            <c:dLbl>
              <c:idx val="2"/>
              <c:layout>
                <c:manualLayout>
                  <c:x val="5.0144112529284246E-2"/>
                  <c:y val="0.2669015250286208"/>
                </c:manualLayout>
              </c:layout>
              <c:tx>
                <c:rich>
                  <a:bodyPr/>
                  <a:lstStyle/>
                  <a:p>
                    <a:r>
                      <a:rPr lang="ru-RU"/>
                      <a:t>Ала-Бука. р-н
16,6 %</a:t>
                    </a:r>
                  </a:p>
                </c:rich>
              </c:tx>
              <c:dLblPos val="bestFit"/>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4-C311-46DC-B715-E2BACC87E1BE}"/>
                </c:ext>
              </c:extLst>
            </c:dLbl>
            <c:dLbl>
              <c:idx val="3"/>
              <c:layout>
                <c:manualLayout>
                  <c:x val="5.4010431927926851E-2"/>
                  <c:y val="0.18612777178807538"/>
                </c:manualLayout>
              </c:layout>
              <c:tx>
                <c:rich>
                  <a:bodyPr/>
                  <a:lstStyle/>
                  <a:p>
                    <a:r>
                      <a:rPr lang="ru-RU"/>
                      <a:t>Базар-Коргон. р-н
9, %</a:t>
                    </a:r>
                  </a:p>
                </c:rich>
              </c:tx>
              <c:dLblPos val="bestFit"/>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5-C311-46DC-B715-E2BACC87E1BE}"/>
                </c:ext>
              </c:extLst>
            </c:dLbl>
            <c:dLbl>
              <c:idx val="4"/>
              <c:layout>
                <c:manualLayout>
                  <c:x val="0.27918981748292282"/>
                  <c:y val="0.28680710871057796"/>
                </c:manualLayout>
              </c:layout>
              <c:tx>
                <c:rich>
                  <a:bodyPr/>
                  <a:lstStyle/>
                  <a:p>
                    <a:r>
                      <a:rPr lang="ru-RU"/>
                      <a:t>Ноокен. р-н
4,9</a:t>
                    </a:r>
                    <a:r>
                      <a:rPr lang="ru-RU" baseline="0"/>
                      <a:t> </a:t>
                    </a:r>
                    <a:r>
                      <a:rPr lang="ru-RU"/>
                      <a:t>%</a:t>
                    </a:r>
                  </a:p>
                </c:rich>
              </c:tx>
              <c:dLblPos val="bestFit"/>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6-C311-46DC-B715-E2BACC87E1BE}"/>
                </c:ext>
              </c:extLst>
            </c:dLbl>
            <c:dLbl>
              <c:idx val="5"/>
              <c:layout>
                <c:manualLayout>
                  <c:x val="-0.11133552146446972"/>
                  <c:y val="0.29607932304346507"/>
                </c:manualLayout>
              </c:layout>
              <c:tx>
                <c:rich>
                  <a:bodyPr/>
                  <a:lstStyle/>
                  <a:p>
                    <a:r>
                      <a:rPr lang="ru-RU"/>
                      <a:t>   г. Майлуу-Суу
4,8 %</a:t>
                    </a:r>
                  </a:p>
                </c:rich>
              </c:tx>
              <c:dLblPos val="bestFit"/>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7-C311-46DC-B715-E2BACC87E1BE}"/>
                </c:ext>
              </c:extLst>
            </c:dLbl>
            <c:dLbl>
              <c:idx val="6"/>
              <c:layout>
                <c:manualLayout>
                  <c:x val="-0.12358699591860572"/>
                  <c:y val="0.14278907679883943"/>
                </c:manualLayout>
              </c:layout>
              <c:tx>
                <c:rich>
                  <a:bodyPr/>
                  <a:lstStyle/>
                  <a:p>
                    <a:r>
                      <a:rPr lang="ru-RU"/>
                      <a:t>Сузак. р-н
7,0 %</a:t>
                    </a:r>
                  </a:p>
                </c:rich>
              </c:tx>
              <c:dLblPos val="bestFit"/>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C311-46DC-B715-E2BACC87E1BE}"/>
                </c:ext>
              </c:extLst>
            </c:dLbl>
            <c:dLbl>
              <c:idx val="7"/>
              <c:layout>
                <c:manualLayout>
                  <c:x val="-0.10604578272094144"/>
                  <c:y val="0.10730677782313883"/>
                </c:manualLayout>
              </c:layout>
              <c:tx>
                <c:rich>
                  <a:bodyPr/>
                  <a:lstStyle/>
                  <a:p>
                    <a:r>
                      <a:rPr lang="ru-RU"/>
                      <a:t>г.Кок-Жангак
1,5%</a:t>
                    </a:r>
                  </a:p>
                </c:rich>
              </c:tx>
              <c:dLblPos val="bestFit"/>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8-C311-46DC-B715-E2BACC87E1BE}"/>
                </c:ext>
              </c:extLst>
            </c:dLbl>
            <c:dLbl>
              <c:idx val="8"/>
              <c:layout>
                <c:manualLayout>
                  <c:x val="-0.11098227044412082"/>
                  <c:y val="4.4325348226563477E-2"/>
                </c:manualLayout>
              </c:layout>
              <c:tx>
                <c:rich>
                  <a:bodyPr/>
                  <a:lstStyle/>
                  <a:p>
                    <a:r>
                      <a:rPr lang="ru-RU"/>
                      <a:t>Тогуз-Торо. р-н
1,2 %</a:t>
                    </a:r>
                  </a:p>
                </c:rich>
              </c:tx>
              <c:dLblPos val="bestFit"/>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9-C311-46DC-B715-E2BACC87E1BE}"/>
                </c:ext>
              </c:extLst>
            </c:dLbl>
            <c:dLbl>
              <c:idx val="9"/>
              <c:layout>
                <c:manualLayout>
                  <c:x val="-0.11948425003853776"/>
                  <c:y val="-4.4274561753443881E-2"/>
                </c:manualLayout>
              </c:layout>
              <c:tx>
                <c:rich>
                  <a:bodyPr/>
                  <a:lstStyle/>
                  <a:p>
                    <a:r>
                      <a:rPr lang="ru-RU"/>
                      <a:t>Токтогул. р-н
9,4 %</a:t>
                    </a:r>
                  </a:p>
                </c:rich>
              </c:tx>
              <c:dLblPos val="bestFit"/>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A-C311-46DC-B715-E2BACC87E1BE}"/>
                </c:ext>
              </c:extLst>
            </c:dLbl>
            <c:dLbl>
              <c:idx val="10"/>
              <c:layout>
                <c:manualLayout>
                  <c:x val="-0.17448482634978338"/>
                  <c:y val="-0.14391180676949686"/>
                </c:manualLayout>
              </c:layout>
              <c:tx>
                <c:rich>
                  <a:bodyPr/>
                  <a:lstStyle/>
                  <a:p>
                    <a:r>
                      <a:rPr lang="ru-RU"/>
                      <a:t>Чаткал. р-н
4,0  %</a:t>
                    </a:r>
                  </a:p>
                </c:rich>
              </c:tx>
              <c:dLblPos val="bestFit"/>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B-C311-46DC-B715-E2BACC87E1BE}"/>
                </c:ext>
              </c:extLst>
            </c:dLbl>
            <c:dLbl>
              <c:idx val="11"/>
              <c:layout>
                <c:manualLayout>
                  <c:x val="-1.0801843362769469E-2"/>
                  <c:y val="-0.15354224019521837"/>
                </c:manualLayout>
              </c:layout>
              <c:tx>
                <c:rich>
                  <a:bodyPr/>
                  <a:lstStyle/>
                  <a:p>
                    <a:r>
                      <a:rPr lang="ru-RU"/>
                      <a:t>г. Жалал-Абад
2,0 %</a:t>
                    </a:r>
                  </a:p>
                </c:rich>
              </c:tx>
              <c:dLblPos val="bestFit"/>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C-C311-46DC-B715-E2BACC87E1BE}"/>
                </c:ext>
              </c:extLst>
            </c:dLbl>
            <c:dLbl>
              <c:idx val="12"/>
              <c:layout>
                <c:manualLayout>
                  <c:x val="0.10659327840555455"/>
                  <c:y val="-0.13534750159628794"/>
                </c:manualLayout>
              </c:layout>
              <c:tx>
                <c:rich>
                  <a:bodyPr/>
                  <a:lstStyle/>
                  <a:p>
                    <a:r>
                      <a:rPr lang="ru-RU"/>
                      <a:t>г. Кара-Куль
0,8 %</a:t>
                    </a:r>
                  </a:p>
                </c:rich>
              </c:tx>
              <c:dLblPos val="bestFit"/>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D-C311-46DC-B715-E2BACC87E1BE}"/>
                </c:ext>
              </c:extLst>
            </c:dLbl>
            <c:dLbl>
              <c:idx val="13"/>
              <c:layout>
                <c:manualLayout>
                  <c:x val="0.19631053177558033"/>
                  <c:y val="-3.6679076399526889E-2"/>
                </c:manualLayout>
              </c:layout>
              <c:tx>
                <c:rich>
                  <a:bodyPr/>
                  <a:lstStyle/>
                  <a:p>
                    <a:r>
                      <a:rPr lang="ru-RU"/>
                      <a:t>г.Майлуу-Суу
3,7 %</a:t>
                    </a:r>
                  </a:p>
                </c:rich>
              </c:tx>
              <c:dLblPos val="bestFit"/>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E-C311-46DC-B715-E2BACC87E1BE}"/>
                </c:ext>
              </c:extLst>
            </c:dLbl>
            <c:dLbl>
              <c:idx val="14"/>
              <c:layout>
                <c:manualLayout>
                  <c:x val="0.26776982823147433"/>
                  <c:y val="6.3773465967442058E-2"/>
                </c:manualLayout>
              </c:layout>
              <c:tx>
                <c:rich>
                  <a:bodyPr/>
                  <a:lstStyle/>
                  <a:p>
                    <a:r>
                      <a:rPr lang="ru-RU"/>
                      <a:t>г.Таш-Кумыр
4,2 %</a:t>
                    </a:r>
                  </a:p>
                </c:rich>
              </c:tx>
              <c:dLblPos val="bestFit"/>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F-C311-46DC-B715-E2BACC87E1BE}"/>
                </c:ext>
              </c:extLst>
            </c:dLbl>
            <c:spPr>
              <a:solidFill>
                <a:sysClr val="window" lastClr="FFFFFF"/>
              </a:solidFill>
              <a:ln>
                <a:noFill/>
              </a:ln>
              <a:effectLst/>
            </c:spPr>
            <c:txPr>
              <a:bodyPr/>
              <a:lstStyle/>
              <a:p>
                <a:pPr>
                  <a:defRPr sz="1000" b="0" i="0" u="none" strike="noStrike" baseline="0">
                    <a:solidFill>
                      <a:srgbClr val="333333"/>
                    </a:solidFill>
                    <a:latin typeface="Times New Roman"/>
                    <a:ea typeface="Times New Roman"/>
                    <a:cs typeface="Times New Roman"/>
                  </a:defRPr>
                </a:pPr>
                <a:endParaRPr lang="ru-RU"/>
              </a:p>
            </c:txPr>
            <c:dLblPos val="outEnd"/>
            <c:showLegendKey val="0"/>
            <c:showVal val="0"/>
            <c:showCatName val="1"/>
            <c:showSerName val="0"/>
            <c:showPercent val="1"/>
            <c:showBubbleSize val="0"/>
            <c:showLeaderLines val="1"/>
            <c:extLst>
              <c:ext xmlns:c15="http://schemas.microsoft.com/office/drawing/2012/chart" uri="{CE6537A1-D6FC-4f65-9D91-7224C49458BB}"/>
            </c:extLst>
          </c:dLbls>
          <c:cat>
            <c:strRef>
              <c:f>Лист1!$A$2:$A$14</c:f>
              <c:strCache>
                <c:ptCount val="13"/>
                <c:pt idx="0">
                  <c:v>Аксыйский р-н</c:v>
                </c:pt>
                <c:pt idx="1">
                  <c:v>Ала-Бук. р-н</c:v>
                </c:pt>
                <c:pt idx="2">
                  <c:v>Базар-Коргон. р-н</c:v>
                </c:pt>
                <c:pt idx="3">
                  <c:v>Ноокен. р-н</c:v>
                </c:pt>
                <c:pt idx="4">
                  <c:v>Сузак. р-н</c:v>
                </c:pt>
                <c:pt idx="5">
                  <c:v>г.Кок-Жангак</c:v>
                </c:pt>
                <c:pt idx="6">
                  <c:v>Тогуз-Тор. р-н</c:v>
                </c:pt>
                <c:pt idx="7">
                  <c:v>Токтогул. р-н</c:v>
                </c:pt>
                <c:pt idx="8">
                  <c:v>Чаткал. р-н</c:v>
                </c:pt>
                <c:pt idx="9">
                  <c:v>г. Жалал-Абад</c:v>
                </c:pt>
                <c:pt idx="10">
                  <c:v>г. Кара-Куль</c:v>
                </c:pt>
                <c:pt idx="11">
                  <c:v>г.Майлуу-Суу</c:v>
                </c:pt>
                <c:pt idx="12">
                  <c:v>г.Таш-Кумыр</c:v>
                </c:pt>
              </c:strCache>
            </c:strRef>
          </c:cat>
          <c:val>
            <c:numRef>
              <c:f>Лист1!$B$2:$B$14</c:f>
              <c:numCache>
                <c:formatCode>General</c:formatCode>
                <c:ptCount val="13"/>
                <c:pt idx="0">
                  <c:v>8315</c:v>
                </c:pt>
                <c:pt idx="1">
                  <c:v>2226</c:v>
                </c:pt>
                <c:pt idx="2">
                  <c:v>1448</c:v>
                </c:pt>
                <c:pt idx="3">
                  <c:v>768</c:v>
                </c:pt>
                <c:pt idx="4">
                  <c:v>1338</c:v>
                </c:pt>
                <c:pt idx="5">
                  <c:v>330</c:v>
                </c:pt>
                <c:pt idx="6">
                  <c:v>217</c:v>
                </c:pt>
                <c:pt idx="7">
                  <c:v>1808</c:v>
                </c:pt>
                <c:pt idx="8">
                  <c:v>763</c:v>
                </c:pt>
                <c:pt idx="9">
                  <c:v>1113</c:v>
                </c:pt>
                <c:pt idx="10">
                  <c:v>203</c:v>
                </c:pt>
                <c:pt idx="11">
                  <c:v>724</c:v>
                </c:pt>
                <c:pt idx="12">
                  <c:v>821</c:v>
                </c:pt>
              </c:numCache>
            </c:numRef>
          </c:val>
          <c:extLst>
            <c:ext xmlns:c16="http://schemas.microsoft.com/office/drawing/2014/chart" uri="{C3380CC4-5D6E-409C-BE32-E72D297353CC}">
              <c16:uniqueId val="{00000010-C311-46DC-B715-E2BACC87E1BE}"/>
            </c:ext>
          </c:extLst>
        </c:ser>
        <c:dLbls>
          <c:showLegendKey val="0"/>
          <c:showVal val="0"/>
          <c:showCatName val="0"/>
          <c:showSerName val="0"/>
          <c:showPercent val="0"/>
          <c:showBubbleSize val="0"/>
          <c:showLeaderLines val="1"/>
        </c:dLbls>
      </c:pie3DChart>
      <c:spPr>
        <a:noFill/>
        <a:ln w="25395">
          <a:noFill/>
        </a:ln>
      </c:spPr>
    </c:plotArea>
    <c:plotVisOnly val="1"/>
    <c:dispBlanksAs val="zero"/>
    <c:showDLblsOverMax val="0"/>
  </c:chart>
  <c:spPr>
    <a:solidFill>
      <a:schemeClr val="bg1"/>
    </a:solidFill>
    <a:ln w="9516"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hPercent val="55"/>
      <c:rotY val="20"/>
      <c:depthPercent val="100"/>
      <c:rAngAx val="1"/>
    </c:view3D>
    <c:floor>
      <c:thickness val="0"/>
      <c:spPr>
        <a:solidFill>
          <a:srgbClr val="C0C0C0"/>
        </a:solidFill>
        <a:ln w="3175">
          <a:solidFill>
            <a:srgbClr val="000000"/>
          </a:solidFill>
          <a:prstDash val="solid"/>
        </a:ln>
      </c:spPr>
    </c:floor>
    <c:sideWall>
      <c:thickness val="0"/>
      <c:spPr>
        <a:noFill/>
        <a:ln w="25400">
          <a:noFill/>
        </a:ln>
      </c:spPr>
    </c:sideWall>
    <c:backWall>
      <c:thickness val="0"/>
      <c:spPr>
        <a:noFill/>
        <a:ln w="25400">
          <a:noFill/>
        </a:ln>
      </c:spPr>
    </c:backWall>
    <c:plotArea>
      <c:layout>
        <c:manualLayout>
          <c:layoutTarget val="inner"/>
          <c:xMode val="edge"/>
          <c:yMode val="edge"/>
          <c:x val="4.9469964664310993E-2"/>
          <c:y val="7.5117370892019031E-2"/>
          <c:w val="0.61211312908712878"/>
          <c:h val="0.755868544600939"/>
        </c:manualLayout>
      </c:layout>
      <c:bar3DChart>
        <c:barDir val="col"/>
        <c:grouping val="clustered"/>
        <c:varyColors val="0"/>
        <c:ser>
          <c:idx val="0"/>
          <c:order val="0"/>
          <c:tx>
            <c:strRef>
              <c:f>Sheet1!$A$2</c:f>
              <c:strCache>
                <c:ptCount val="1"/>
                <c:pt idx="0">
                  <c:v>орто жана кичи ишканалар / средние и малые предприятия</c:v>
                </c:pt>
              </c:strCache>
            </c:strRef>
          </c:tx>
          <c:spPr>
            <a:solidFill>
              <a:srgbClr val="FFFFFF"/>
            </a:solidFill>
            <a:ln w="12698">
              <a:solidFill>
                <a:srgbClr val="000000"/>
              </a:solidFill>
              <a:prstDash val="solid"/>
            </a:ln>
          </c:spPr>
          <c:invertIfNegative val="0"/>
          <c:dLbls>
            <c:dLbl>
              <c:idx val="0"/>
              <c:layout>
                <c:manualLayout>
                  <c:x val="-7.4815420091421539E-3"/>
                  <c:y val="-6.0808794740761923E-2"/>
                </c:manualLayout>
              </c:layout>
              <c:tx>
                <c:rich>
                  <a:bodyPr/>
                  <a:lstStyle/>
                  <a:p>
                    <a:r>
                      <a:rPr lang="en-US"/>
                      <a:t>152.9</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5A87-4F5A-9D5F-E577C67F30B3}"/>
                </c:ext>
              </c:extLst>
            </c:dLbl>
            <c:dLbl>
              <c:idx val="1"/>
              <c:layout>
                <c:manualLayout>
                  <c:x val="-1.3963084927208781E-2"/>
                  <c:y val="-4.2897903930354933E-2"/>
                </c:manualLayout>
              </c:layout>
              <c:tx>
                <c:rich>
                  <a:bodyPr/>
                  <a:lstStyle/>
                  <a:p>
                    <a:r>
                      <a:rPr lang="en-US"/>
                      <a:t>173.5</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5A87-4F5A-9D5F-E577C67F30B3}"/>
                </c:ext>
              </c:extLst>
            </c:dLbl>
            <c:dLbl>
              <c:idx val="2"/>
              <c:layout>
                <c:manualLayout>
                  <c:x val="-6.8697773202378524E-3"/>
                  <c:y val="5.120697940926398E-3"/>
                </c:manualLayout>
              </c:layout>
              <c:tx>
                <c:rich>
                  <a:bodyPr/>
                  <a:lstStyle/>
                  <a:p>
                    <a:r>
                      <a:rPr lang="en-US"/>
                      <a:t>1123,3</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5A87-4F5A-9D5F-E577C67F30B3}"/>
                </c:ext>
              </c:extLst>
            </c:dLbl>
            <c:dLbl>
              <c:idx val="3"/>
              <c:layout>
                <c:manualLayout>
                  <c:x val="-1.1579533123730562E-2"/>
                  <c:y val="8.4901359161094741E-3"/>
                </c:manualLayout>
              </c:layout>
              <c:tx>
                <c:rich>
                  <a:bodyPr/>
                  <a:lstStyle/>
                  <a:p>
                    <a:r>
                      <a:rPr lang="en-US"/>
                      <a:t>1836,3</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5A87-4F5A-9D5F-E577C67F30B3}"/>
                </c:ext>
              </c:extLst>
            </c:dLbl>
            <c:dLbl>
              <c:idx val="4"/>
              <c:layout>
                <c:manualLayout>
                  <c:x val="-7.4551561180007924E-3"/>
                  <c:y val="-1.37075421206436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A87-4F5A-9D5F-E577C67F30B3}"/>
                </c:ext>
              </c:extLst>
            </c:dLbl>
            <c:spPr>
              <a:noFill/>
              <a:ln w="25396">
                <a:noFill/>
              </a:ln>
            </c:spPr>
            <c:txPr>
              <a:bodyPr/>
              <a:lstStyle/>
              <a:p>
                <a:pPr>
                  <a:defRPr sz="1001"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2020г</c:v>
                </c:pt>
                <c:pt idx="1">
                  <c:v>2021г</c:v>
                </c:pt>
                <c:pt idx="2">
                  <c:v>2022г</c:v>
                </c:pt>
                <c:pt idx="3">
                  <c:v>2023г</c:v>
                </c:pt>
                <c:pt idx="4">
                  <c:v>2024г</c:v>
                </c:pt>
              </c:strCache>
            </c:strRef>
          </c:cat>
          <c:val>
            <c:numRef>
              <c:f>Sheet1!$B$2:$F$2</c:f>
              <c:numCache>
                <c:formatCode>General</c:formatCode>
                <c:ptCount val="5"/>
                <c:pt idx="0">
                  <c:v>152.9</c:v>
                </c:pt>
                <c:pt idx="1">
                  <c:v>173.5</c:v>
                </c:pt>
                <c:pt idx="2">
                  <c:v>1123.3</c:v>
                </c:pt>
                <c:pt idx="3">
                  <c:v>2654.3</c:v>
                </c:pt>
                <c:pt idx="4">
                  <c:v>3789</c:v>
                </c:pt>
              </c:numCache>
            </c:numRef>
          </c:val>
          <c:shape val="cylinder"/>
          <c:extLst>
            <c:ext xmlns:c16="http://schemas.microsoft.com/office/drawing/2014/chart" uri="{C3380CC4-5D6E-409C-BE32-E72D297353CC}">
              <c16:uniqueId val="{00000005-5A87-4F5A-9D5F-E577C67F30B3}"/>
            </c:ext>
          </c:extLst>
        </c:ser>
        <c:ser>
          <c:idx val="1"/>
          <c:order val="1"/>
          <c:tx>
            <c:strRef>
              <c:f>Sheet1!$A$3</c:f>
              <c:strCache>
                <c:ptCount val="1"/>
                <c:pt idx="0">
                  <c:v>жеке ишкерлер / индивидуальные предприниматели</c:v>
                </c:pt>
              </c:strCache>
            </c:strRef>
          </c:tx>
          <c:spPr>
            <a:solidFill>
              <a:srgbClr val="993366"/>
            </a:solidFill>
            <a:ln w="12698">
              <a:solidFill>
                <a:srgbClr val="000000"/>
              </a:solidFill>
              <a:prstDash val="solid"/>
            </a:ln>
          </c:spPr>
          <c:invertIfNegative val="0"/>
          <c:dLbls>
            <c:dLbl>
              <c:idx val="0"/>
              <c:layout>
                <c:manualLayout>
                  <c:x val="2.5328100151520351E-2"/>
                  <c:y val="-9.7899291473661689E-3"/>
                </c:manualLayout>
              </c:layout>
              <c:tx>
                <c:rich>
                  <a:bodyPr/>
                  <a:lstStyle/>
                  <a:p>
                    <a:r>
                      <a:rPr lang="en-US"/>
                      <a:t>4918,1</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5A87-4F5A-9D5F-E577C67F30B3}"/>
                </c:ext>
              </c:extLst>
            </c:dLbl>
            <c:dLbl>
              <c:idx val="1"/>
              <c:layout>
                <c:manualLayout>
                  <c:x val="2.5772277477413466E-2"/>
                  <c:y val="-1.8416349539395083E-2"/>
                </c:manualLayout>
              </c:layout>
              <c:tx>
                <c:rich>
                  <a:bodyPr/>
                  <a:lstStyle/>
                  <a:p>
                    <a:r>
                      <a:rPr lang="en-US"/>
                      <a:t>4977</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5A87-4F5A-9D5F-E577C67F30B3}"/>
                </c:ext>
              </c:extLst>
            </c:dLbl>
            <c:dLbl>
              <c:idx val="2"/>
              <c:layout>
                <c:manualLayout>
                  <c:x val="2.4596279834732563E-2"/>
                  <c:y val="-6.9959995052970994E-3"/>
                </c:manualLayout>
              </c:layout>
              <c:tx>
                <c:rich>
                  <a:bodyPr/>
                  <a:lstStyle/>
                  <a:p>
                    <a:r>
                      <a:rPr lang="en-US"/>
                      <a:t>6454.8</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8-5A87-4F5A-9D5F-E577C67F30B3}"/>
                </c:ext>
              </c:extLst>
            </c:dLbl>
            <c:dLbl>
              <c:idx val="3"/>
              <c:layout>
                <c:manualLayout>
                  <c:x val="1.8119746301748358E-2"/>
                  <c:y val="-2.6821424695602829E-2"/>
                </c:manualLayout>
              </c:layout>
              <c:tx>
                <c:rich>
                  <a:bodyPr/>
                  <a:lstStyle/>
                  <a:p>
                    <a:r>
                      <a:rPr lang="en-US"/>
                      <a:t>8269</a:t>
                    </a:r>
                  </a:p>
                </c:rich>
              </c:tx>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5A87-4F5A-9D5F-E577C67F30B3}"/>
                </c:ext>
              </c:extLst>
            </c:dLbl>
            <c:dLbl>
              <c:idx val="4"/>
              <c:layout>
                <c:manualLayout>
                  <c:x val="2.2244102015960221E-2"/>
                  <c:y val="-2.34033312099748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5A87-4F5A-9D5F-E577C67F30B3}"/>
                </c:ext>
              </c:extLst>
            </c:dLbl>
            <c:spPr>
              <a:noFill/>
              <a:ln w="25396">
                <a:noFill/>
              </a:ln>
            </c:spPr>
            <c:txPr>
              <a:bodyPr/>
              <a:lstStyle/>
              <a:p>
                <a:pPr>
                  <a:defRPr sz="1001"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Sheet1!$B$1:$F$1</c:f>
              <c:strCache>
                <c:ptCount val="5"/>
                <c:pt idx="0">
                  <c:v>2020г</c:v>
                </c:pt>
                <c:pt idx="1">
                  <c:v>2021г</c:v>
                </c:pt>
                <c:pt idx="2">
                  <c:v>2022г</c:v>
                </c:pt>
                <c:pt idx="3">
                  <c:v>2023г</c:v>
                </c:pt>
                <c:pt idx="4">
                  <c:v>2024г</c:v>
                </c:pt>
              </c:strCache>
            </c:strRef>
          </c:cat>
          <c:val>
            <c:numRef>
              <c:f>Sheet1!$B$3:$F$3</c:f>
              <c:numCache>
                <c:formatCode>General</c:formatCode>
                <c:ptCount val="5"/>
                <c:pt idx="0">
                  <c:v>4918.1000000000004</c:v>
                </c:pt>
                <c:pt idx="1">
                  <c:v>4977</c:v>
                </c:pt>
                <c:pt idx="2">
                  <c:v>6454.8</c:v>
                </c:pt>
                <c:pt idx="3">
                  <c:v>10447</c:v>
                </c:pt>
                <c:pt idx="4">
                  <c:v>9725</c:v>
                </c:pt>
              </c:numCache>
            </c:numRef>
          </c:val>
          <c:extLst>
            <c:ext xmlns:c16="http://schemas.microsoft.com/office/drawing/2014/chart" uri="{C3380CC4-5D6E-409C-BE32-E72D297353CC}">
              <c16:uniqueId val="{0000000B-5A87-4F5A-9D5F-E577C67F30B3}"/>
            </c:ext>
          </c:extLst>
        </c:ser>
        <c:dLbls>
          <c:showLegendKey val="0"/>
          <c:showVal val="0"/>
          <c:showCatName val="0"/>
          <c:showSerName val="0"/>
          <c:showPercent val="0"/>
          <c:showBubbleSize val="0"/>
        </c:dLbls>
        <c:gapWidth val="150"/>
        <c:gapDepth val="0"/>
        <c:shape val="box"/>
        <c:axId val="118463104"/>
        <c:axId val="118501760"/>
        <c:axId val="0"/>
      </c:bar3DChart>
      <c:catAx>
        <c:axId val="118463104"/>
        <c:scaling>
          <c:orientation val="minMax"/>
        </c:scaling>
        <c:delete val="0"/>
        <c:axPos val="b"/>
        <c:numFmt formatCode="General" sourceLinked="1"/>
        <c:majorTickMark val="out"/>
        <c:minorTickMark val="none"/>
        <c:tickLblPos val="low"/>
        <c:spPr>
          <a:ln w="3174">
            <a:solidFill>
              <a:srgbClr val="000000"/>
            </a:solidFill>
            <a:prstDash val="solid"/>
          </a:ln>
        </c:spPr>
        <c:txPr>
          <a:bodyPr rot="0" vert="horz"/>
          <a:lstStyle/>
          <a:p>
            <a:pPr>
              <a:defRPr sz="1001" b="0" i="0" u="none" strike="noStrike" baseline="0">
                <a:solidFill>
                  <a:srgbClr val="000000"/>
                </a:solidFill>
                <a:latin typeface="Times New Roman"/>
                <a:ea typeface="Times New Roman"/>
                <a:cs typeface="Times New Roman"/>
              </a:defRPr>
            </a:pPr>
            <a:endParaRPr lang="ru-RU"/>
          </a:p>
        </c:txPr>
        <c:crossAx val="118501760"/>
        <c:crosses val="autoZero"/>
        <c:auto val="1"/>
        <c:lblAlgn val="ctr"/>
        <c:lblOffset val="100"/>
        <c:tickLblSkip val="1"/>
        <c:tickMarkSkip val="1"/>
        <c:noMultiLvlLbl val="0"/>
      </c:catAx>
      <c:valAx>
        <c:axId val="118501760"/>
        <c:scaling>
          <c:orientation val="minMax"/>
        </c:scaling>
        <c:delete val="0"/>
        <c:axPos val="l"/>
        <c:numFmt formatCode="General" sourceLinked="1"/>
        <c:majorTickMark val="out"/>
        <c:minorTickMark val="none"/>
        <c:tickLblPos val="nextTo"/>
        <c:spPr>
          <a:ln w="3174">
            <a:solidFill>
              <a:srgbClr val="000000"/>
            </a:solidFill>
            <a:prstDash val="solid"/>
          </a:ln>
        </c:spPr>
        <c:txPr>
          <a:bodyPr rot="0" vert="horz"/>
          <a:lstStyle/>
          <a:p>
            <a:pPr>
              <a:defRPr sz="1001" b="0" i="0" u="none" strike="noStrike" baseline="0">
                <a:solidFill>
                  <a:srgbClr val="000000"/>
                </a:solidFill>
                <a:latin typeface="Times New Roman"/>
                <a:ea typeface="Times New Roman"/>
                <a:cs typeface="Times New Roman"/>
              </a:defRPr>
            </a:pPr>
            <a:endParaRPr lang="ru-RU"/>
          </a:p>
        </c:txPr>
        <c:crossAx val="118463104"/>
        <c:crosses val="autoZero"/>
        <c:crossBetween val="between"/>
      </c:valAx>
      <c:spPr>
        <a:noFill/>
        <a:ln w="25417">
          <a:noFill/>
        </a:ln>
      </c:spPr>
    </c:plotArea>
    <c:legend>
      <c:legendPos val="r"/>
      <c:layout>
        <c:manualLayout>
          <c:xMode val="edge"/>
          <c:yMode val="edge"/>
          <c:x val="0.66254403384762095"/>
          <c:y val="0.17370859411804293"/>
          <c:w val="0.33215551759733752"/>
          <c:h val="0.65258227336968733"/>
        </c:manualLayout>
      </c:layout>
      <c:overlay val="0"/>
      <c:spPr>
        <a:solidFill>
          <a:srgbClr val="FFFFFF"/>
        </a:solidFill>
        <a:ln w="25396">
          <a:noFill/>
        </a:ln>
      </c:spPr>
      <c:txPr>
        <a:bodyPr/>
        <a:lstStyle/>
        <a:p>
          <a:pPr>
            <a:defRPr sz="920"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1001" b="0" i="0" u="none" strike="noStrike" baseline="0">
          <a:solidFill>
            <a:srgbClr val="000000"/>
          </a:solidFill>
          <a:latin typeface="Times New Roman"/>
          <a:ea typeface="Times New Roman"/>
          <a:cs typeface="Times New Roman"/>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manualLayout>
          <c:layoutTarget val="inner"/>
          <c:xMode val="edge"/>
          <c:yMode val="edge"/>
          <c:x val="7.0157823444926881E-2"/>
          <c:y val="0.14121693562034829"/>
          <c:w val="0.72727272727272729"/>
          <c:h val="0.35645933014354081"/>
        </c:manualLayout>
      </c:layout>
      <c:barChart>
        <c:barDir val="col"/>
        <c:grouping val="clustered"/>
        <c:varyColors val="0"/>
        <c:ser>
          <c:idx val="0"/>
          <c:order val="0"/>
          <c:tx>
            <c:strRef>
              <c:f>Sheet1!$A$2</c:f>
              <c:strCache>
                <c:ptCount val="1"/>
                <c:pt idx="0">
                  <c:v>Баардык товарлар жана акы төлөнүүчү кызмат көрсөтүүлөр / Все товары и услуги</c:v>
                </c:pt>
              </c:strCache>
            </c:strRef>
          </c:tx>
          <c:invertIfNegative val="0"/>
          <c:dLbls>
            <c:dLbl>
              <c:idx val="0"/>
              <c:layout>
                <c:manualLayout>
                  <c:x val="4.5407636738906479E-2"/>
                  <c:y val="-1.927773033391078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D37-4D8F-8BC0-B3998E3A9024}"/>
                </c:ext>
              </c:extLst>
            </c:dLbl>
            <c:dLbl>
              <c:idx val="4"/>
              <c:layout>
                <c:manualLayout>
                  <c:x val="0"/>
                  <c:y val="1.26182965299684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D37-4D8F-8BC0-B3998E3A9024}"/>
                </c:ext>
              </c:extLst>
            </c:dLbl>
            <c:spPr>
              <a:noFill/>
              <a:ln>
                <a:noFill/>
              </a:ln>
              <a:effectLst/>
            </c:spPr>
            <c:txPr>
              <a:bodyPr/>
              <a:lstStyle/>
              <a:p>
                <a:pPr>
                  <a:defRPr lang="ru-RU" sz="431" baseline="0">
                    <a:latin typeface="Arial" pitchFamily="34"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2020</c:v>
                </c:pt>
                <c:pt idx="1">
                  <c:v>2021</c:v>
                </c:pt>
                <c:pt idx="2">
                  <c:v>2022</c:v>
                </c:pt>
                <c:pt idx="3">
                  <c:v>2023</c:v>
                </c:pt>
                <c:pt idx="4">
                  <c:v>2024</c:v>
                </c:pt>
              </c:numCache>
            </c:numRef>
          </c:cat>
          <c:val>
            <c:numRef>
              <c:f>Sheet1!$B$2:$F$2</c:f>
              <c:numCache>
                <c:formatCode>0.0</c:formatCode>
                <c:ptCount val="5"/>
                <c:pt idx="0">
                  <c:v>106.1</c:v>
                </c:pt>
                <c:pt idx="1">
                  <c:v>114.6</c:v>
                </c:pt>
                <c:pt idx="2">
                  <c:v>114.6</c:v>
                </c:pt>
                <c:pt idx="3">
                  <c:v>112.7</c:v>
                </c:pt>
                <c:pt idx="4">
                  <c:v>102.9</c:v>
                </c:pt>
              </c:numCache>
            </c:numRef>
          </c:val>
          <c:extLst>
            <c:ext xmlns:c16="http://schemas.microsoft.com/office/drawing/2014/chart" uri="{C3380CC4-5D6E-409C-BE32-E72D297353CC}">
              <c16:uniqueId val="{00000002-9D37-4D8F-8BC0-B3998E3A9024}"/>
            </c:ext>
          </c:extLst>
        </c:ser>
        <c:ser>
          <c:idx val="1"/>
          <c:order val="1"/>
          <c:tx>
            <c:strRef>
              <c:f>Sheet1!$A$3</c:f>
              <c:strCache>
                <c:ptCount val="1"/>
                <c:pt idx="0">
                  <c:v>Тамак-аш азыктары жана алкоголсуз суусундуктар / Пищевые продукты и безалкогольные напитки</c:v>
                </c:pt>
              </c:strCache>
            </c:strRef>
          </c:tx>
          <c:invertIfNegative val="0"/>
          <c:dLbls>
            <c:dLbl>
              <c:idx val="0"/>
              <c:layout>
                <c:manualLayout>
                  <c:x val="-2.2703818369453226E-2"/>
                  <c:y val="1.682439537329126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D37-4D8F-8BC0-B3998E3A9024}"/>
                </c:ext>
              </c:extLst>
            </c:dLbl>
            <c:dLbl>
              <c:idx val="4"/>
              <c:layout>
                <c:manualLayout>
                  <c:x val="-2.063983488132113E-3"/>
                  <c:y val="-8.4121976866456914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D37-4D8F-8BC0-B3998E3A9024}"/>
                </c:ext>
              </c:extLst>
            </c:dLbl>
            <c:spPr>
              <a:noFill/>
              <a:ln>
                <a:noFill/>
              </a:ln>
              <a:effectLst/>
            </c:spPr>
            <c:txPr>
              <a:bodyPr/>
              <a:lstStyle/>
              <a:p>
                <a:pPr>
                  <a:defRPr lang="ru-RU" sz="431" baseline="0">
                    <a:latin typeface="Tahoma" pitchFamily="34"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2020</c:v>
                </c:pt>
                <c:pt idx="1">
                  <c:v>2021</c:v>
                </c:pt>
                <c:pt idx="2">
                  <c:v>2022</c:v>
                </c:pt>
                <c:pt idx="3">
                  <c:v>2023</c:v>
                </c:pt>
                <c:pt idx="4">
                  <c:v>2024</c:v>
                </c:pt>
              </c:numCache>
            </c:numRef>
          </c:cat>
          <c:val>
            <c:numRef>
              <c:f>Sheet1!$B$3:$F$3</c:f>
              <c:numCache>
                <c:formatCode>0.0</c:formatCode>
                <c:ptCount val="5"/>
                <c:pt idx="0">
                  <c:v>110.5</c:v>
                </c:pt>
                <c:pt idx="1">
                  <c:v>118.4</c:v>
                </c:pt>
                <c:pt idx="2">
                  <c:v>115.6</c:v>
                </c:pt>
                <c:pt idx="3">
                  <c:v>109.7</c:v>
                </c:pt>
                <c:pt idx="4">
                  <c:v>100.3</c:v>
                </c:pt>
              </c:numCache>
            </c:numRef>
          </c:val>
          <c:extLst>
            <c:ext xmlns:c16="http://schemas.microsoft.com/office/drawing/2014/chart" uri="{C3380CC4-5D6E-409C-BE32-E72D297353CC}">
              <c16:uniqueId val="{00000005-9D37-4D8F-8BC0-B3998E3A9024}"/>
            </c:ext>
          </c:extLst>
        </c:ser>
        <c:ser>
          <c:idx val="2"/>
          <c:order val="2"/>
          <c:tx>
            <c:strRef>
              <c:f>Sheet1!$A$4</c:f>
              <c:strCache>
                <c:ptCount val="1"/>
                <c:pt idx="0">
                  <c:v>Алкоголдук ичимдиктер, тамеки / Алкогольные напитки, табачные изделия</c:v>
                </c:pt>
              </c:strCache>
            </c:strRef>
          </c:tx>
          <c:invertIfNegative val="0"/>
          <c:dLbls>
            <c:dLbl>
              <c:idx val="0"/>
              <c:layout>
                <c:manualLayout>
                  <c:x val="-2.2703818369453226E-2"/>
                  <c:y val="8.412197686645712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D37-4D8F-8BC0-B3998E3A9024}"/>
                </c:ext>
              </c:extLst>
            </c:dLbl>
            <c:spPr>
              <a:noFill/>
              <a:ln>
                <a:noFill/>
              </a:ln>
              <a:effectLst/>
            </c:spPr>
            <c:txPr>
              <a:bodyPr/>
              <a:lstStyle/>
              <a:p>
                <a:pPr>
                  <a:defRPr lang="ru-RU" sz="43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2020</c:v>
                </c:pt>
                <c:pt idx="1">
                  <c:v>2021</c:v>
                </c:pt>
                <c:pt idx="2">
                  <c:v>2022</c:v>
                </c:pt>
                <c:pt idx="3">
                  <c:v>2023</c:v>
                </c:pt>
                <c:pt idx="4">
                  <c:v>2024</c:v>
                </c:pt>
              </c:numCache>
            </c:numRef>
          </c:cat>
          <c:val>
            <c:numRef>
              <c:f>Sheet1!$B$4:$F$4</c:f>
              <c:numCache>
                <c:formatCode>0.0</c:formatCode>
                <c:ptCount val="5"/>
                <c:pt idx="0">
                  <c:v>110.5</c:v>
                </c:pt>
                <c:pt idx="1">
                  <c:v>114.4</c:v>
                </c:pt>
                <c:pt idx="2">
                  <c:v>114.9</c:v>
                </c:pt>
                <c:pt idx="3">
                  <c:v>133.80000000000001</c:v>
                </c:pt>
                <c:pt idx="4">
                  <c:v>105.3</c:v>
                </c:pt>
              </c:numCache>
            </c:numRef>
          </c:val>
          <c:extLst>
            <c:ext xmlns:c16="http://schemas.microsoft.com/office/drawing/2014/chart" uri="{C3380CC4-5D6E-409C-BE32-E72D297353CC}">
              <c16:uniqueId val="{00000007-9D37-4D8F-8BC0-B3998E3A9024}"/>
            </c:ext>
          </c:extLst>
        </c:ser>
        <c:ser>
          <c:idx val="3"/>
          <c:order val="3"/>
          <c:tx>
            <c:strRef>
              <c:f>Sheet1!$A$5</c:f>
              <c:strCache>
                <c:ptCount val="1"/>
                <c:pt idx="0">
                  <c:v>Азык-түлүк эмес товарлар / Непродовольственные товары</c:v>
                </c:pt>
              </c:strCache>
            </c:strRef>
          </c:tx>
          <c:invertIfNegative val="0"/>
          <c:dLbls>
            <c:spPr>
              <a:noFill/>
              <a:ln>
                <a:noFill/>
              </a:ln>
              <a:effectLst/>
            </c:spPr>
            <c:txPr>
              <a:bodyPr/>
              <a:lstStyle/>
              <a:p>
                <a:pPr>
                  <a:defRPr lang="ru-RU" sz="43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2020</c:v>
                </c:pt>
                <c:pt idx="1">
                  <c:v>2021</c:v>
                </c:pt>
                <c:pt idx="2">
                  <c:v>2022</c:v>
                </c:pt>
                <c:pt idx="3">
                  <c:v>2023</c:v>
                </c:pt>
                <c:pt idx="4">
                  <c:v>2024</c:v>
                </c:pt>
              </c:numCache>
            </c:numRef>
          </c:cat>
          <c:val>
            <c:numRef>
              <c:f>Sheet1!$B$5:$F$5</c:f>
              <c:numCache>
                <c:formatCode>0.0</c:formatCode>
                <c:ptCount val="5"/>
                <c:pt idx="0">
                  <c:v>100</c:v>
                </c:pt>
                <c:pt idx="1">
                  <c:v>114.3</c:v>
                </c:pt>
                <c:pt idx="2">
                  <c:v>114.6</c:v>
                </c:pt>
                <c:pt idx="3">
                  <c:v>109.9</c:v>
                </c:pt>
                <c:pt idx="4">
                  <c:v>106.7</c:v>
                </c:pt>
              </c:numCache>
            </c:numRef>
          </c:val>
          <c:extLst>
            <c:ext xmlns:c16="http://schemas.microsoft.com/office/drawing/2014/chart" uri="{C3380CC4-5D6E-409C-BE32-E72D297353CC}">
              <c16:uniqueId val="{00000008-9D37-4D8F-8BC0-B3998E3A9024}"/>
            </c:ext>
          </c:extLst>
        </c:ser>
        <c:ser>
          <c:idx val="4"/>
          <c:order val="4"/>
          <c:tx>
            <c:strRef>
              <c:f>Sheet1!$A$6</c:f>
              <c:strCache>
                <c:ptCount val="1"/>
                <c:pt idx="0">
                  <c:v>Акы төлөнүүчү кызмат көрсөтүүлөр / Услуги</c:v>
                </c:pt>
              </c:strCache>
            </c:strRef>
          </c:tx>
          <c:invertIfNegative val="0"/>
          <c:dLbls>
            <c:spPr>
              <a:noFill/>
              <a:ln>
                <a:noFill/>
              </a:ln>
              <a:effectLst/>
            </c:spPr>
            <c:txPr>
              <a:bodyPr/>
              <a:lstStyle/>
              <a:p>
                <a:pPr>
                  <a:defRPr lang="ru-RU" sz="431" baseline="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2020</c:v>
                </c:pt>
                <c:pt idx="1">
                  <c:v>2021</c:v>
                </c:pt>
                <c:pt idx="2">
                  <c:v>2022</c:v>
                </c:pt>
                <c:pt idx="3">
                  <c:v>2023</c:v>
                </c:pt>
                <c:pt idx="4">
                  <c:v>2024</c:v>
                </c:pt>
              </c:numCache>
            </c:numRef>
          </c:cat>
          <c:val>
            <c:numRef>
              <c:f>Sheet1!$B$6:$F$6</c:f>
              <c:numCache>
                <c:formatCode>0.0</c:formatCode>
                <c:ptCount val="5"/>
                <c:pt idx="0">
                  <c:v>101.5</c:v>
                </c:pt>
                <c:pt idx="1">
                  <c:v>104.4</c:v>
                </c:pt>
                <c:pt idx="2">
                  <c:v>111.2</c:v>
                </c:pt>
                <c:pt idx="3">
                  <c:v>114</c:v>
                </c:pt>
                <c:pt idx="4">
                  <c:v>106.3</c:v>
                </c:pt>
              </c:numCache>
            </c:numRef>
          </c:val>
          <c:extLst>
            <c:ext xmlns:c16="http://schemas.microsoft.com/office/drawing/2014/chart" uri="{C3380CC4-5D6E-409C-BE32-E72D297353CC}">
              <c16:uniqueId val="{00000009-9D37-4D8F-8BC0-B3998E3A9024}"/>
            </c:ext>
          </c:extLst>
        </c:ser>
        <c:dLbls>
          <c:showLegendKey val="0"/>
          <c:showVal val="0"/>
          <c:showCatName val="0"/>
          <c:showSerName val="0"/>
          <c:showPercent val="0"/>
          <c:showBubbleSize val="0"/>
        </c:dLbls>
        <c:gapWidth val="150"/>
        <c:axId val="59411840"/>
        <c:axId val="59438208"/>
      </c:barChart>
      <c:catAx>
        <c:axId val="59411840"/>
        <c:scaling>
          <c:orientation val="minMax"/>
        </c:scaling>
        <c:delete val="0"/>
        <c:axPos val="b"/>
        <c:numFmt formatCode="General" sourceLinked="1"/>
        <c:majorTickMark val="out"/>
        <c:minorTickMark val="none"/>
        <c:tickLblPos val="nextTo"/>
        <c:txPr>
          <a:bodyPr rot="0" vert="horz"/>
          <a:lstStyle/>
          <a:p>
            <a:pPr>
              <a:defRPr lang="ru-RU" sz="647" baseline="0"/>
            </a:pPr>
            <a:endParaRPr lang="ru-RU"/>
          </a:p>
        </c:txPr>
        <c:crossAx val="59438208"/>
        <c:crosses val="autoZero"/>
        <c:auto val="1"/>
        <c:lblAlgn val="ctr"/>
        <c:lblOffset val="100"/>
        <c:tickLblSkip val="1"/>
        <c:tickMarkSkip val="1"/>
        <c:noMultiLvlLbl val="0"/>
      </c:catAx>
      <c:valAx>
        <c:axId val="59438208"/>
        <c:scaling>
          <c:orientation val="minMax"/>
          <c:max val="140"/>
          <c:min val="0"/>
        </c:scaling>
        <c:delete val="0"/>
        <c:axPos val="l"/>
        <c:numFmt formatCode="0.0" sourceLinked="1"/>
        <c:majorTickMark val="out"/>
        <c:minorTickMark val="none"/>
        <c:tickLblPos val="nextTo"/>
        <c:txPr>
          <a:bodyPr rot="0" vert="horz"/>
          <a:lstStyle/>
          <a:p>
            <a:pPr>
              <a:defRPr lang="ru-RU" sz="575" baseline="0">
                <a:latin typeface="Arial" pitchFamily="34" charset="0"/>
              </a:defRPr>
            </a:pPr>
            <a:endParaRPr lang="ru-RU"/>
          </a:p>
        </c:txPr>
        <c:crossAx val="59411840"/>
        <c:crosses val="autoZero"/>
        <c:crossBetween val="between"/>
      </c:valAx>
    </c:plotArea>
    <c:legend>
      <c:legendPos val="b"/>
      <c:layout>
        <c:manualLayout>
          <c:xMode val="edge"/>
          <c:yMode val="edge"/>
          <c:x val="8.9925094969802472E-2"/>
          <c:y val="0.56930185914080633"/>
          <c:w val="0.75310195422244763"/>
          <c:h val="0.36467411152104917"/>
        </c:manualLayout>
      </c:layout>
      <c:overlay val="1"/>
      <c:txPr>
        <a:bodyPr/>
        <a:lstStyle/>
        <a:p>
          <a:pPr>
            <a:defRPr lang="ru-RU" sz="503" baseline="0">
              <a:latin typeface="Times New Roman" pitchFamily="18" charset="0"/>
            </a:defRPr>
          </a:pPr>
          <a:endParaRPr lang="ru-RU"/>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title>
      <c:overlay val="0"/>
    </c:title>
    <c:autoTitleDeleted val="0"/>
    <c:plotArea>
      <c:layout>
        <c:manualLayout>
          <c:layoutTarget val="inner"/>
          <c:xMode val="edge"/>
          <c:yMode val="edge"/>
          <c:x val="0.12453198393428606"/>
          <c:y val="4.3312522447613876E-2"/>
          <c:w val="0.39513381288434413"/>
          <c:h val="0.92956883927530454"/>
        </c:manualLayout>
      </c:layout>
      <c:pieChart>
        <c:varyColors val="1"/>
        <c:ser>
          <c:idx val="0"/>
          <c:order val="0"/>
          <c:tx>
            <c:strRef>
              <c:f>Sheet1!$B$1</c:f>
              <c:strCache>
                <c:ptCount val="1"/>
              </c:strCache>
            </c:strRef>
          </c:tx>
          <c:explosion val="25"/>
          <c:dLbls>
            <c:dLbl>
              <c:idx val="0"/>
              <c:layout>
                <c:manualLayout>
                  <c:x val="-0.19291907419602555"/>
                  <c:y val="-4.9123616470027533E-2"/>
                </c:manualLayout>
              </c:layout>
              <c:tx>
                <c:rich>
                  <a:bodyPr/>
                  <a:lstStyle/>
                  <a:p>
                    <a:pPr>
                      <a:defRPr/>
                    </a:pPr>
                    <a:r>
                      <a:rPr lang="en-US"/>
                      <a:t>97,6</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043D-42CF-85E2-C2BEEBB52998}"/>
                </c:ext>
              </c:extLst>
            </c:dLbl>
            <c:dLbl>
              <c:idx val="1"/>
              <c:layout>
                <c:manualLayout>
                  <c:x val="-2.3781102799771591E-2"/>
                  <c:y val="0.10106271326515609"/>
                </c:manualLayout>
              </c:layout>
              <c:tx>
                <c:rich>
                  <a:bodyPr/>
                  <a:lstStyle/>
                  <a:p>
                    <a:pPr>
                      <a:defRPr/>
                    </a:pPr>
                    <a:r>
                      <a:rPr lang="en-US"/>
                      <a:t>1,3</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043D-42CF-85E2-C2BEEBB52998}"/>
                </c:ext>
              </c:extLst>
            </c:dLbl>
            <c:dLbl>
              <c:idx val="2"/>
              <c:layout>
                <c:manualLayout>
                  <c:x val="-4.5003752135873267E-3"/>
                  <c:y val="0"/>
                </c:manualLayout>
              </c:layout>
              <c:tx>
                <c:rich>
                  <a:bodyPr/>
                  <a:lstStyle/>
                  <a:p>
                    <a:pPr>
                      <a:defRPr/>
                    </a:pPr>
                    <a:r>
                      <a:rPr lang="en-US"/>
                      <a:t>1,1</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043D-42CF-85E2-C2BEEBB52998}"/>
                </c:ext>
              </c:extLst>
            </c:dLbl>
            <c:dLbl>
              <c:idx val="3"/>
              <c:tx>
                <c:rich>
                  <a:bodyPr/>
                  <a:lstStyle/>
                  <a:p>
                    <a:pPr>
                      <a:defRPr/>
                    </a:pPr>
                    <a:r>
                      <a:rPr lang="en-US"/>
                      <a:t>0,0</a:t>
                    </a:r>
                  </a:p>
                  <a:p>
                    <a:pPr>
                      <a:defRPr/>
                    </a:pPr>
                    <a:endParaRPr lang="en-US"/>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043D-42CF-85E2-C2BEEBB52998}"/>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extLst>
          </c:dLbls>
          <c:cat>
            <c:strRef>
              <c:f>Sheet1!$A$2:$A$5</c:f>
              <c:strCache>
                <c:ptCount val="4"/>
                <c:pt idx="0">
                  <c:v>Негизги капиталга инвестициялар / Инвестиции в основной капитал </c:v>
                </c:pt>
                <c:pt idx="1">
                  <c:v>Капиталдык курулуш / Капитальный ремонт  </c:v>
                </c:pt>
                <c:pt idx="2">
                  <c:v>матер активтивтердин инвестиций</c:v>
                </c:pt>
                <c:pt idx="3">
                  <c:v>Финансылык эмес активдердин инвестициялары / Инвестиции в нематериальные активы</c:v>
                </c:pt>
              </c:strCache>
            </c:strRef>
          </c:cat>
          <c:val>
            <c:numRef>
              <c:f>Sheet1!$B$2:$B$5</c:f>
              <c:numCache>
                <c:formatCode>General</c:formatCode>
                <c:ptCount val="4"/>
                <c:pt idx="0">
                  <c:v>97.6</c:v>
                </c:pt>
                <c:pt idx="1">
                  <c:v>1.3</c:v>
                </c:pt>
                <c:pt idx="2">
                  <c:v>1.1000000000000001</c:v>
                </c:pt>
                <c:pt idx="3">
                  <c:v>0</c:v>
                </c:pt>
              </c:numCache>
            </c:numRef>
          </c:val>
          <c:extLst>
            <c:ext xmlns:c16="http://schemas.microsoft.com/office/drawing/2014/chart" uri="{C3380CC4-5D6E-409C-BE32-E72D297353CC}">
              <c16:uniqueId val="{00000004-043D-42CF-85E2-C2BEEBB52998}"/>
            </c:ext>
          </c:extLst>
        </c:ser>
        <c:dLbls>
          <c:showLegendKey val="0"/>
          <c:showVal val="0"/>
          <c:showCatName val="0"/>
          <c:showSerName val="0"/>
          <c:showPercent val="0"/>
          <c:showBubbleSize val="0"/>
          <c:showLeaderLines val="0"/>
        </c:dLbls>
        <c:firstSliceAng val="0"/>
      </c:pieChart>
      <c:spPr>
        <a:noFill/>
        <a:ln w="25393">
          <a:noFill/>
        </a:ln>
      </c:spPr>
    </c:plotArea>
    <c:legend>
      <c:legendPos val="r"/>
      <c:layout>
        <c:manualLayout>
          <c:xMode val="edge"/>
          <c:yMode val="edge"/>
          <c:x val="0.56736561121349571"/>
          <c:y val="0"/>
          <c:w val="0.43263438878650795"/>
          <c:h val="1"/>
        </c:manualLayout>
      </c:layout>
      <c:overlay val="0"/>
    </c:legend>
    <c:plotVisOnly val="1"/>
    <c:dispBlanksAs val="zero"/>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a:pPr>
            <a:r>
              <a:rPr lang="ru-RU"/>
              <a:t>2024</a:t>
            </a:r>
          </a:p>
        </c:rich>
      </c:tx>
      <c:overlay val="0"/>
    </c:title>
    <c:autoTitleDeleted val="0"/>
    <c:view3D>
      <c:rotX val="15"/>
      <c:rotY val="0"/>
      <c:depthPercent val="100"/>
      <c:rAngAx val="0"/>
      <c:perspective val="10"/>
    </c:view3D>
    <c:floor>
      <c:thickness val="0"/>
    </c:floor>
    <c:sideWall>
      <c:thickness val="0"/>
    </c:sideWall>
    <c:backWall>
      <c:thickness val="0"/>
    </c:backWall>
    <c:plotArea>
      <c:layout>
        <c:manualLayout>
          <c:layoutTarget val="inner"/>
          <c:xMode val="edge"/>
          <c:yMode val="edge"/>
          <c:x val="0.1044231074491216"/>
          <c:y val="2.0795711346892447E-2"/>
          <c:w val="0.82318142721611276"/>
          <c:h val="0.43327987717751504"/>
        </c:manualLayout>
      </c:layout>
      <c:bar3DChart>
        <c:barDir val="col"/>
        <c:grouping val="clustered"/>
        <c:varyColors val="0"/>
        <c:ser>
          <c:idx val="1"/>
          <c:order val="0"/>
          <c:tx>
            <c:strRef>
              <c:f>Sheet1!$A$3</c:f>
              <c:strCache>
                <c:ptCount val="1"/>
                <c:pt idx="0">
                  <c:v>2023</c:v>
                </c:pt>
              </c:strCache>
            </c:strRef>
          </c:tx>
          <c:invertIfNegative val="0"/>
          <c:dLbls>
            <c:dLbl>
              <c:idx val="0"/>
              <c:tx>
                <c:rich>
                  <a:bodyPr/>
                  <a:lstStyle/>
                  <a:p>
                    <a:pPr>
                      <a:defRPr/>
                    </a:pPr>
                    <a:r>
                      <a:rPr lang="en-US"/>
                      <a:t>24,4</a:t>
                    </a:r>
                  </a:p>
                </c:rich>
              </c:tx>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C23F-428D-BBE3-8AD143DA1000}"/>
                </c:ext>
              </c:extLst>
            </c:dLbl>
            <c:dLbl>
              <c:idx val="1"/>
              <c:tx>
                <c:rich>
                  <a:bodyPr/>
                  <a:lstStyle/>
                  <a:p>
                    <a:pPr>
                      <a:defRPr/>
                    </a:pPr>
                    <a:r>
                      <a:rPr lang="en-US"/>
                      <a:t>11,5</a:t>
                    </a:r>
                  </a:p>
                </c:rich>
              </c:tx>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C23F-428D-BBE3-8AD143DA1000}"/>
                </c:ext>
              </c:extLst>
            </c:dLbl>
            <c:dLbl>
              <c:idx val="2"/>
              <c:tx>
                <c:rich>
                  <a:bodyPr/>
                  <a:lstStyle/>
                  <a:p>
                    <a:pPr>
                      <a:defRPr/>
                    </a:pPr>
                    <a:r>
                      <a:rPr lang="en-US"/>
                      <a:t>19,0</a:t>
                    </a:r>
                  </a:p>
                </c:rich>
              </c:tx>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C23F-428D-BBE3-8AD143DA1000}"/>
                </c:ext>
              </c:extLst>
            </c:dLbl>
            <c:dLbl>
              <c:idx val="3"/>
              <c:tx>
                <c:rich>
                  <a:bodyPr/>
                  <a:lstStyle/>
                  <a:p>
                    <a:pPr>
                      <a:defRPr/>
                    </a:pPr>
                    <a:r>
                      <a:rPr lang="en-US"/>
                      <a:t>3,2</a:t>
                    </a:r>
                  </a:p>
                </c:rich>
              </c:tx>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C23F-428D-BBE3-8AD143DA1000}"/>
                </c:ext>
              </c:extLst>
            </c:dLbl>
            <c:dLbl>
              <c:idx val="4"/>
              <c:tx>
                <c:rich>
                  <a:bodyPr/>
                  <a:lstStyle/>
                  <a:p>
                    <a:pPr>
                      <a:defRPr/>
                    </a:pPr>
                    <a:r>
                      <a:rPr lang="en-US"/>
                      <a:t>20,1</a:t>
                    </a:r>
                  </a:p>
                </c:rich>
              </c:tx>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C23F-428D-BBE3-8AD143DA1000}"/>
                </c:ext>
              </c:extLst>
            </c:dLbl>
            <c:dLbl>
              <c:idx val="5"/>
              <c:tx>
                <c:rich>
                  <a:bodyPr/>
                  <a:lstStyle/>
                  <a:p>
                    <a:pPr>
                      <a:defRPr/>
                    </a:pPr>
                    <a:r>
                      <a:rPr lang="en-US"/>
                      <a:t>13,5</a:t>
                    </a:r>
                  </a:p>
                </c:rich>
              </c:tx>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C23F-428D-BBE3-8AD143DA1000}"/>
                </c:ext>
              </c:extLst>
            </c:dLbl>
            <c:dLbl>
              <c:idx val="6"/>
              <c:tx>
                <c:rich>
                  <a:bodyPr/>
                  <a:lstStyle/>
                  <a:p>
                    <a:pPr>
                      <a:defRPr/>
                    </a:pPr>
                    <a:r>
                      <a:rPr lang="en-US"/>
                      <a:t>4,1</a:t>
                    </a:r>
                  </a:p>
                </c:rich>
              </c:tx>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C23F-428D-BBE3-8AD143DA1000}"/>
                </c:ext>
              </c:extLst>
            </c:dLbl>
            <c:dLbl>
              <c:idx val="7"/>
              <c:tx>
                <c:rich>
                  <a:bodyPr/>
                  <a:lstStyle/>
                  <a:p>
                    <a:pPr>
                      <a:defRPr/>
                    </a:pPr>
                    <a:r>
                      <a:rPr lang="en-US"/>
                      <a:t>4,2</a:t>
                    </a:r>
                  </a:p>
                </c:rich>
              </c:tx>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C23F-428D-BBE3-8AD143DA1000}"/>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Sheet1!$B$1:$I$1</c:f>
              <c:strCache>
                <c:ptCount val="8"/>
                <c:pt idx="0">
                  <c:v>Средства населения и другие /Калктын каражаты ж.б.</c:v>
                </c:pt>
                <c:pt idx="1">
                  <c:v>Прямые иностранные инвестиции/Тике чет өлкөлүк инвестициялар</c:v>
                </c:pt>
                <c:pt idx="2">
                  <c:v>Средства предприятий и организаций/Ишкана-уюмдардын каражаты</c:v>
                </c:pt>
                <c:pt idx="3">
                  <c:v>Иностранные гранты и гуманитарная помошь/Чет өлкөлүк гранттар жана гуманитардык жардам</c:v>
                </c:pt>
                <c:pt idx="4">
                  <c:v>Республиканский бюджет/Республикалык бюджет</c:v>
                </c:pt>
                <c:pt idx="5">
                  <c:v>Иностранный кредит/Чет өлкөлүк кредит</c:v>
                </c:pt>
                <c:pt idx="6">
                  <c:v>кредит в банк</c:v>
                </c:pt>
                <c:pt idx="7">
                  <c:v>Местный бюджет/Жергиликтүү бюджет</c:v>
                </c:pt>
              </c:strCache>
            </c:strRef>
          </c:cat>
          <c:val>
            <c:numRef>
              <c:f>Sheet1!$B$3:$I$3</c:f>
              <c:numCache>
                <c:formatCode>General</c:formatCode>
                <c:ptCount val="8"/>
                <c:pt idx="0">
                  <c:v>24.4</c:v>
                </c:pt>
                <c:pt idx="1">
                  <c:v>11.5</c:v>
                </c:pt>
                <c:pt idx="2" formatCode="0.0">
                  <c:v>19</c:v>
                </c:pt>
                <c:pt idx="3">
                  <c:v>3.2</c:v>
                </c:pt>
                <c:pt idx="4">
                  <c:v>20.100000000000001</c:v>
                </c:pt>
                <c:pt idx="5">
                  <c:v>13.5</c:v>
                </c:pt>
                <c:pt idx="6">
                  <c:v>4.0999999999999996</c:v>
                </c:pt>
                <c:pt idx="7">
                  <c:v>4.2</c:v>
                </c:pt>
              </c:numCache>
            </c:numRef>
          </c:val>
          <c:extLst>
            <c:ext xmlns:c16="http://schemas.microsoft.com/office/drawing/2014/chart" uri="{C3380CC4-5D6E-409C-BE32-E72D297353CC}">
              <c16:uniqueId val="{00000008-C23F-428D-BBE3-8AD143DA1000}"/>
            </c:ext>
          </c:extLst>
        </c:ser>
        <c:dLbls>
          <c:showLegendKey val="0"/>
          <c:showVal val="0"/>
          <c:showCatName val="0"/>
          <c:showSerName val="0"/>
          <c:showPercent val="0"/>
          <c:showBubbleSize val="0"/>
        </c:dLbls>
        <c:gapWidth val="150"/>
        <c:shape val="cylinder"/>
        <c:axId val="41969152"/>
        <c:axId val="41970688"/>
        <c:axId val="0"/>
      </c:bar3DChart>
      <c:catAx>
        <c:axId val="41969152"/>
        <c:scaling>
          <c:orientation val="minMax"/>
        </c:scaling>
        <c:delete val="0"/>
        <c:axPos val="b"/>
        <c:numFmt formatCode="General" sourceLinked="1"/>
        <c:majorTickMark val="out"/>
        <c:minorTickMark val="none"/>
        <c:tickLblPos val="nextTo"/>
        <c:txPr>
          <a:bodyPr rot="-5400000" vert="horz"/>
          <a:lstStyle/>
          <a:p>
            <a:pPr>
              <a:defRPr/>
            </a:pPr>
            <a:endParaRPr lang="ru-RU"/>
          </a:p>
        </c:txPr>
        <c:crossAx val="41970688"/>
        <c:crosses val="autoZero"/>
        <c:auto val="1"/>
        <c:lblAlgn val="ctr"/>
        <c:lblOffset val="100"/>
        <c:tickLblSkip val="1"/>
        <c:tickMarkSkip val="1"/>
        <c:noMultiLvlLbl val="0"/>
      </c:catAx>
      <c:valAx>
        <c:axId val="41970688"/>
        <c:scaling>
          <c:orientation val="minMax"/>
          <c:max val="62"/>
          <c:min val="0"/>
        </c:scaling>
        <c:delete val="0"/>
        <c:axPos val="l"/>
        <c:numFmt formatCode="General" sourceLinked="1"/>
        <c:majorTickMark val="out"/>
        <c:minorTickMark val="none"/>
        <c:tickLblPos val="nextTo"/>
        <c:txPr>
          <a:bodyPr rot="0" vert="horz"/>
          <a:lstStyle/>
          <a:p>
            <a:pPr>
              <a:defRPr/>
            </a:pPr>
            <a:endParaRPr lang="ru-RU"/>
          </a:p>
        </c:txPr>
        <c:crossAx val="41969152"/>
        <c:crosses val="autoZero"/>
        <c:crossBetween val="between"/>
        <c:minorUnit val="10"/>
      </c:valAx>
      <c:spPr>
        <a:noFill/>
        <a:ln w="23647">
          <a:noFill/>
        </a:ln>
      </c:spPr>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xPr>
        <a:bodyPr/>
        <a:lstStyle/>
        <a:p>
          <a:pPr>
            <a:defRPr sz="882" b="0" i="0" u="none" strike="noStrike" baseline="0">
              <a:solidFill>
                <a:srgbClr val="000000"/>
              </a:solidFill>
              <a:latin typeface="Times New Roman"/>
              <a:ea typeface="Times New Roman"/>
              <a:cs typeface="Times New Roman"/>
            </a:defRPr>
          </a:pPr>
          <a:endParaRPr lang="ru-RU"/>
        </a:p>
      </c:txPr>
    </c:title>
    <c:autoTitleDeleted val="0"/>
    <c:plotArea>
      <c:layout>
        <c:manualLayout>
          <c:layoutTarget val="inner"/>
          <c:xMode val="edge"/>
          <c:yMode val="edge"/>
          <c:x val="4.5177045177045155E-2"/>
          <c:y val="0.16037735849056603"/>
          <c:w val="0.59400851890879747"/>
          <c:h val="0.65775919040676734"/>
        </c:manualLayout>
      </c:layout>
      <c:lineChart>
        <c:grouping val="standard"/>
        <c:varyColors val="0"/>
        <c:ser>
          <c:idx val="0"/>
          <c:order val="0"/>
          <c:tx>
            <c:strRef>
              <c:f>Sheet1!$A$2</c:f>
              <c:strCache>
                <c:ptCount val="1"/>
              </c:strCache>
            </c:strRef>
          </c:tx>
          <c:spPr>
            <a:ln w="10962">
              <a:solidFill>
                <a:srgbClr val="000080"/>
              </a:solidFill>
              <a:prstDash val="solid"/>
            </a:ln>
          </c:spPr>
          <c:marker>
            <c:symbol val="none"/>
          </c:marker>
          <c:dLbls>
            <c:dLbl>
              <c:idx val="0"/>
              <c:layout>
                <c:manualLayout>
                  <c:x val="-7.6997622252125237E-3"/>
                  <c:y val="-9.1021752636596898E-2"/>
                </c:manualLayout>
              </c:layout>
              <c:tx>
                <c:rich>
                  <a:bodyPr/>
                  <a:lstStyle/>
                  <a:p>
                    <a:pPr>
                      <a:defRPr sz="736" b="0" i="0" u="none" strike="noStrike" baseline="0">
                        <a:solidFill>
                          <a:srgbClr val="000000"/>
                        </a:solidFill>
                        <a:latin typeface="Times New Roman"/>
                        <a:ea typeface="Times New Roman"/>
                        <a:cs typeface="Times New Roman"/>
                      </a:defRPr>
                    </a:pPr>
                    <a:r>
                      <a:rPr lang="en-US"/>
                      <a:t>85,5</a:t>
                    </a:r>
                  </a:p>
                </c:rich>
              </c:tx>
              <c:numFmt formatCode="0.0" sourceLinked="0"/>
              <c:spPr>
                <a:noFill/>
                <a:ln w="21921">
                  <a:noFill/>
                </a:ln>
              </c:spPr>
              <c:dLblPos val="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2C7C-4B34-9D4C-834F8AD0464D}"/>
                </c:ext>
              </c:extLst>
            </c:dLbl>
            <c:dLbl>
              <c:idx val="1"/>
              <c:layout>
                <c:manualLayout>
                  <c:x val="-3.8559169924244872E-2"/>
                  <c:y val="-0.11490714280852166"/>
                </c:manualLayout>
              </c:layout>
              <c:tx>
                <c:rich>
                  <a:bodyPr/>
                  <a:lstStyle/>
                  <a:p>
                    <a:pPr>
                      <a:defRPr sz="736" b="0" i="0" u="none" strike="noStrike" baseline="0">
                        <a:solidFill>
                          <a:srgbClr val="000000"/>
                        </a:solidFill>
                        <a:latin typeface="Times New Roman"/>
                        <a:ea typeface="Times New Roman"/>
                        <a:cs typeface="Times New Roman"/>
                      </a:defRPr>
                    </a:pPr>
                    <a:r>
                      <a:rPr lang="en-US"/>
                      <a:t>109,7</a:t>
                    </a:r>
                  </a:p>
                </c:rich>
              </c:tx>
              <c:numFmt formatCode="0.0" sourceLinked="0"/>
              <c:spPr>
                <a:noFill/>
                <a:ln w="21921">
                  <a:noFill/>
                </a:ln>
              </c:spPr>
              <c:dLblPos val="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2C7C-4B34-9D4C-834F8AD0464D}"/>
                </c:ext>
              </c:extLst>
            </c:dLbl>
            <c:dLbl>
              <c:idx val="2"/>
              <c:layout>
                <c:manualLayout>
                  <c:x val="-1.2777952623277342E-2"/>
                  <c:y val="-0.14038485380023644"/>
                </c:manualLayout>
              </c:layout>
              <c:tx>
                <c:rich>
                  <a:bodyPr/>
                  <a:lstStyle/>
                  <a:p>
                    <a:pPr>
                      <a:defRPr sz="736" b="0" i="0" u="none" strike="noStrike" baseline="0">
                        <a:solidFill>
                          <a:srgbClr val="000000"/>
                        </a:solidFill>
                        <a:latin typeface="Times New Roman"/>
                        <a:ea typeface="Times New Roman"/>
                        <a:cs typeface="Times New Roman"/>
                      </a:defRPr>
                    </a:pPr>
                    <a:r>
                      <a:rPr lang="en-US"/>
                      <a:t>113,5</a:t>
                    </a:r>
                  </a:p>
                </c:rich>
              </c:tx>
              <c:numFmt formatCode="0.0" sourceLinked="0"/>
              <c:spPr>
                <a:noFill/>
                <a:ln w="21921">
                  <a:noFill/>
                </a:ln>
              </c:spPr>
              <c:dLblPos val="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2C7C-4B34-9D4C-834F8AD0464D}"/>
                </c:ext>
              </c:extLst>
            </c:dLbl>
            <c:dLbl>
              <c:idx val="3"/>
              <c:layout>
                <c:manualLayout>
                  <c:x val="-3.1918409097494604E-2"/>
                  <c:y val="-0.11331444736626962"/>
                </c:manualLayout>
              </c:layout>
              <c:tx>
                <c:rich>
                  <a:bodyPr/>
                  <a:lstStyle/>
                  <a:p>
                    <a:pPr>
                      <a:defRPr sz="736" b="0" i="0" u="none" strike="noStrike" baseline="0">
                        <a:solidFill>
                          <a:srgbClr val="000000"/>
                        </a:solidFill>
                        <a:latin typeface="Times New Roman"/>
                        <a:ea typeface="Times New Roman"/>
                        <a:cs typeface="Times New Roman"/>
                      </a:defRPr>
                    </a:pPr>
                    <a:r>
                      <a:rPr lang="en-US"/>
                      <a:t>107,8</a:t>
                    </a:r>
                  </a:p>
                </c:rich>
              </c:tx>
              <c:numFmt formatCode="0.0" sourceLinked="0"/>
              <c:spPr>
                <a:noFill/>
                <a:ln w="21921">
                  <a:noFill/>
                </a:ln>
              </c:spPr>
              <c:dLblPos val="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2C7C-4B34-9D4C-834F8AD0464D}"/>
                </c:ext>
              </c:extLst>
            </c:dLbl>
            <c:dLbl>
              <c:idx val="4"/>
              <c:layout>
                <c:manualLayout>
                  <c:x val="-3.5434066796527081E-2"/>
                  <c:y val="-0.11649904915239595"/>
                </c:manualLayout>
              </c:layout>
              <c:tx>
                <c:rich>
                  <a:bodyPr/>
                  <a:lstStyle/>
                  <a:p>
                    <a:pPr>
                      <a:defRPr sz="736" b="0" i="0" u="none" strike="noStrike" baseline="0">
                        <a:solidFill>
                          <a:srgbClr val="000000"/>
                        </a:solidFill>
                        <a:latin typeface="Times New Roman"/>
                        <a:ea typeface="Times New Roman"/>
                        <a:cs typeface="Times New Roman"/>
                      </a:defRPr>
                    </a:pPr>
                    <a:r>
                      <a:rPr lang="en-US"/>
                      <a:t>123,5</a:t>
                    </a:r>
                  </a:p>
                </c:rich>
              </c:tx>
              <c:numFmt formatCode="0.0" sourceLinked="0"/>
              <c:spPr>
                <a:noFill/>
                <a:ln w="21921">
                  <a:noFill/>
                </a:ln>
              </c:spPr>
              <c:dLblPos val="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2C7C-4B34-9D4C-834F8AD0464D}"/>
                </c:ext>
              </c:extLst>
            </c:dLbl>
            <c:numFmt formatCode="0.0" sourceLinked="0"/>
            <c:spPr>
              <a:noFill/>
              <a:ln w="21921">
                <a:noFill/>
              </a:ln>
            </c:spPr>
            <c:txPr>
              <a:bodyPr/>
              <a:lstStyle/>
              <a:p>
                <a:pPr>
                  <a:defRPr sz="738"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2019</c:v>
                </c:pt>
                <c:pt idx="1">
                  <c:v>2020</c:v>
                </c:pt>
                <c:pt idx="2">
                  <c:v>2021</c:v>
                </c:pt>
                <c:pt idx="3">
                  <c:v>2022</c:v>
                </c:pt>
                <c:pt idx="4">
                  <c:v>2023</c:v>
                </c:pt>
              </c:numCache>
            </c:numRef>
          </c:cat>
          <c:val>
            <c:numRef>
              <c:f>Sheet1!$B$2:$F$2</c:f>
              <c:numCache>
                <c:formatCode>0.0</c:formatCode>
                <c:ptCount val="5"/>
                <c:pt idx="0">
                  <c:v>166</c:v>
                </c:pt>
                <c:pt idx="1">
                  <c:v>85.5</c:v>
                </c:pt>
                <c:pt idx="2">
                  <c:v>109.7</c:v>
                </c:pt>
                <c:pt idx="3">
                  <c:v>113.5</c:v>
                </c:pt>
                <c:pt idx="4">
                  <c:v>107.8</c:v>
                </c:pt>
              </c:numCache>
            </c:numRef>
          </c:val>
          <c:smooth val="0"/>
          <c:extLst>
            <c:ext xmlns:c16="http://schemas.microsoft.com/office/drawing/2014/chart" uri="{C3380CC4-5D6E-409C-BE32-E72D297353CC}">
              <c16:uniqueId val="{00000005-2C7C-4B34-9D4C-834F8AD0464D}"/>
            </c:ext>
          </c:extLst>
        </c:ser>
        <c:dLbls>
          <c:showLegendKey val="0"/>
          <c:showVal val="0"/>
          <c:showCatName val="0"/>
          <c:showSerName val="0"/>
          <c:showPercent val="0"/>
          <c:showBubbleSize val="0"/>
        </c:dLbls>
        <c:smooth val="0"/>
        <c:axId val="42074496"/>
        <c:axId val="42076032"/>
      </c:lineChart>
      <c:catAx>
        <c:axId val="42074496"/>
        <c:scaling>
          <c:orientation val="minMax"/>
        </c:scaling>
        <c:delete val="0"/>
        <c:axPos val="b"/>
        <c:numFmt formatCode="General" sourceLinked="1"/>
        <c:majorTickMark val="out"/>
        <c:minorTickMark val="none"/>
        <c:tickLblPos val="nextTo"/>
        <c:spPr>
          <a:ln w="2740">
            <a:solidFill>
              <a:srgbClr val="000000"/>
            </a:solidFill>
            <a:prstDash val="solid"/>
          </a:ln>
        </c:spPr>
        <c:txPr>
          <a:bodyPr rot="0" vert="horz"/>
          <a:lstStyle/>
          <a:p>
            <a:pPr>
              <a:defRPr sz="738" b="0" i="0" u="none" strike="noStrike" baseline="0">
                <a:solidFill>
                  <a:srgbClr val="000000"/>
                </a:solidFill>
                <a:latin typeface="Times New Roman"/>
                <a:ea typeface="Times New Roman"/>
                <a:cs typeface="Times New Roman"/>
              </a:defRPr>
            </a:pPr>
            <a:endParaRPr lang="ru-RU"/>
          </a:p>
        </c:txPr>
        <c:crossAx val="42076032"/>
        <c:crosses val="autoZero"/>
        <c:auto val="1"/>
        <c:lblAlgn val="ctr"/>
        <c:lblOffset val="100"/>
        <c:noMultiLvlLbl val="0"/>
      </c:catAx>
      <c:valAx>
        <c:axId val="42076032"/>
        <c:scaling>
          <c:orientation val="minMax"/>
          <c:max val="200"/>
          <c:min val="0"/>
        </c:scaling>
        <c:delete val="0"/>
        <c:axPos val="l"/>
        <c:numFmt formatCode="0.0" sourceLinked="1"/>
        <c:majorTickMark val="out"/>
        <c:minorTickMark val="none"/>
        <c:tickLblPos val="nextTo"/>
        <c:spPr>
          <a:ln w="2740">
            <a:solidFill>
              <a:srgbClr val="000000"/>
            </a:solidFill>
            <a:prstDash val="solid"/>
          </a:ln>
        </c:spPr>
        <c:txPr>
          <a:bodyPr rot="0" vert="horz"/>
          <a:lstStyle/>
          <a:p>
            <a:pPr>
              <a:defRPr sz="738" b="0" i="0" u="none" strike="noStrike" baseline="0">
                <a:solidFill>
                  <a:srgbClr val="000000"/>
                </a:solidFill>
                <a:latin typeface="Times New Roman"/>
                <a:ea typeface="Times New Roman"/>
                <a:cs typeface="Times New Roman"/>
              </a:defRPr>
            </a:pPr>
            <a:endParaRPr lang="ru-RU"/>
          </a:p>
        </c:txPr>
        <c:crossAx val="42074496"/>
        <c:crosses val="autoZero"/>
        <c:crossBetween val="between"/>
      </c:valAx>
      <c:spPr>
        <a:noFill/>
        <a:ln w="25321">
          <a:noFill/>
        </a:ln>
      </c:spPr>
    </c:plotArea>
    <c:plotVisOnly val="1"/>
    <c:dispBlanksAs val="gap"/>
    <c:showDLblsOverMax val="0"/>
  </c:chart>
  <c:spPr>
    <a:noFill/>
    <a:ln>
      <a:noFill/>
    </a:ln>
  </c:spPr>
  <c:txPr>
    <a:bodyPr/>
    <a:lstStyle/>
    <a:p>
      <a:pPr>
        <a:defRPr sz="738" b="0" i="0" u="none" strike="noStrike" baseline="0">
          <a:solidFill>
            <a:srgbClr val="000000"/>
          </a:solidFill>
          <a:latin typeface="Times New Roman"/>
          <a:ea typeface="Times New Roman"/>
          <a:cs typeface="Times New Roman"/>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7.4160557516517511E-2"/>
          <c:y val="3.4831434306005882E-2"/>
          <c:w val="0.92583936609105544"/>
          <c:h val="0.7313865787843935"/>
        </c:manualLayout>
      </c:layout>
      <c:barChart>
        <c:barDir val="col"/>
        <c:grouping val="clustered"/>
        <c:varyColors val="0"/>
        <c:ser>
          <c:idx val="0"/>
          <c:order val="0"/>
          <c:tx>
            <c:strRef>
              <c:f>sheet1!$B$1</c:f>
              <c:strCache>
                <c:ptCount val="1"/>
                <c:pt idx="0">
                  <c:v>Иштеген ишканалар - Действующие предприятия</c:v>
                </c:pt>
              </c:strCache>
            </c:strRef>
          </c:tx>
          <c:invertIfNegative val="0"/>
          <c:dLbls>
            <c:dLbl>
              <c:idx val="3"/>
              <c:layout>
                <c:manualLayout>
                  <c:x val="0"/>
                  <c:y val="1.05337078651685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342-4F38-B376-D56DA022E40F}"/>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sheet1!$A$2:$A$6</c:f>
              <c:numCache>
                <c:formatCode>General</c:formatCode>
                <c:ptCount val="5"/>
                <c:pt idx="0">
                  <c:v>2020</c:v>
                </c:pt>
                <c:pt idx="1">
                  <c:v>2021</c:v>
                </c:pt>
                <c:pt idx="2">
                  <c:v>2022</c:v>
                </c:pt>
                <c:pt idx="3">
                  <c:v>2023</c:v>
                </c:pt>
                <c:pt idx="4">
                  <c:v>2024</c:v>
                </c:pt>
              </c:numCache>
            </c:numRef>
          </c:cat>
          <c:val>
            <c:numRef>
              <c:f>sheet1!$B$2:$B$6</c:f>
              <c:numCache>
                <c:formatCode>General</c:formatCode>
                <c:ptCount val="5"/>
                <c:pt idx="0">
                  <c:v>649</c:v>
                </c:pt>
                <c:pt idx="1">
                  <c:v>694</c:v>
                </c:pt>
                <c:pt idx="2">
                  <c:v>742</c:v>
                </c:pt>
                <c:pt idx="3">
                  <c:v>926</c:v>
                </c:pt>
                <c:pt idx="4">
                  <c:v>1020</c:v>
                </c:pt>
              </c:numCache>
            </c:numRef>
          </c:val>
          <c:extLst>
            <c:ext xmlns:c16="http://schemas.microsoft.com/office/drawing/2014/chart" uri="{C3380CC4-5D6E-409C-BE32-E72D297353CC}">
              <c16:uniqueId val="{00000001-2342-4F38-B376-D56DA022E40F}"/>
            </c:ext>
          </c:extLst>
        </c:ser>
        <c:ser>
          <c:idx val="1"/>
          <c:order val="1"/>
          <c:tx>
            <c:strRef>
              <c:f>sheet1!$C$1</c:f>
              <c:strCache>
                <c:ptCount val="1"/>
                <c:pt idx="0">
                  <c:v>Рентабелдүү-Рентабельные</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sheet1!$A$2:$A$6</c:f>
              <c:numCache>
                <c:formatCode>General</c:formatCode>
                <c:ptCount val="5"/>
                <c:pt idx="0">
                  <c:v>2020</c:v>
                </c:pt>
                <c:pt idx="1">
                  <c:v>2021</c:v>
                </c:pt>
                <c:pt idx="2">
                  <c:v>2022</c:v>
                </c:pt>
                <c:pt idx="3">
                  <c:v>2023</c:v>
                </c:pt>
                <c:pt idx="4">
                  <c:v>2024</c:v>
                </c:pt>
              </c:numCache>
            </c:numRef>
          </c:cat>
          <c:val>
            <c:numRef>
              <c:f>sheet1!$C$2:$C$6</c:f>
              <c:numCache>
                <c:formatCode>General</c:formatCode>
                <c:ptCount val="5"/>
                <c:pt idx="0">
                  <c:v>381</c:v>
                </c:pt>
                <c:pt idx="1">
                  <c:v>417</c:v>
                </c:pt>
                <c:pt idx="2">
                  <c:v>455</c:v>
                </c:pt>
                <c:pt idx="3">
                  <c:v>630</c:v>
                </c:pt>
                <c:pt idx="4">
                  <c:v>693</c:v>
                </c:pt>
              </c:numCache>
            </c:numRef>
          </c:val>
          <c:extLst>
            <c:ext xmlns:c16="http://schemas.microsoft.com/office/drawing/2014/chart" uri="{C3380CC4-5D6E-409C-BE32-E72D297353CC}">
              <c16:uniqueId val="{00000002-2342-4F38-B376-D56DA022E40F}"/>
            </c:ext>
          </c:extLst>
        </c:ser>
        <c:ser>
          <c:idx val="2"/>
          <c:order val="2"/>
          <c:tx>
            <c:strRef>
              <c:f>sheet1!$D$1</c:f>
              <c:strCache>
                <c:ptCount val="1"/>
                <c:pt idx="0">
                  <c:v>Чыгашалуу-Убыточные</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sheet1!$A$2:$A$6</c:f>
              <c:numCache>
                <c:formatCode>General</c:formatCode>
                <c:ptCount val="5"/>
                <c:pt idx="0">
                  <c:v>2020</c:v>
                </c:pt>
                <c:pt idx="1">
                  <c:v>2021</c:v>
                </c:pt>
                <c:pt idx="2">
                  <c:v>2022</c:v>
                </c:pt>
                <c:pt idx="3">
                  <c:v>2023</c:v>
                </c:pt>
                <c:pt idx="4">
                  <c:v>2024</c:v>
                </c:pt>
              </c:numCache>
            </c:numRef>
          </c:cat>
          <c:val>
            <c:numRef>
              <c:f>sheet1!$D$2:$D$6</c:f>
              <c:numCache>
                <c:formatCode>General</c:formatCode>
                <c:ptCount val="5"/>
                <c:pt idx="0">
                  <c:v>115</c:v>
                </c:pt>
                <c:pt idx="1">
                  <c:v>108</c:v>
                </c:pt>
                <c:pt idx="2">
                  <c:v>119</c:v>
                </c:pt>
                <c:pt idx="3">
                  <c:v>116</c:v>
                </c:pt>
                <c:pt idx="4">
                  <c:v>116</c:v>
                </c:pt>
              </c:numCache>
            </c:numRef>
          </c:val>
          <c:extLst>
            <c:ext xmlns:c16="http://schemas.microsoft.com/office/drawing/2014/chart" uri="{C3380CC4-5D6E-409C-BE32-E72D297353CC}">
              <c16:uniqueId val="{00000003-2342-4F38-B376-D56DA022E40F}"/>
            </c:ext>
          </c:extLst>
        </c:ser>
        <c:dLbls>
          <c:showLegendKey val="0"/>
          <c:showVal val="0"/>
          <c:showCatName val="0"/>
          <c:showSerName val="0"/>
          <c:showPercent val="0"/>
          <c:showBubbleSize val="0"/>
        </c:dLbls>
        <c:gapWidth val="150"/>
        <c:axId val="208326136"/>
        <c:axId val="208326920"/>
      </c:barChart>
      <c:catAx>
        <c:axId val="208326136"/>
        <c:scaling>
          <c:orientation val="minMax"/>
        </c:scaling>
        <c:delete val="0"/>
        <c:axPos val="b"/>
        <c:numFmt formatCode="General" sourceLinked="1"/>
        <c:majorTickMark val="out"/>
        <c:minorTickMark val="none"/>
        <c:tickLblPos val="nextTo"/>
        <c:crossAx val="208326920"/>
        <c:crosses val="autoZero"/>
        <c:auto val="1"/>
        <c:lblAlgn val="ctr"/>
        <c:lblOffset val="100"/>
        <c:noMultiLvlLbl val="0"/>
      </c:catAx>
      <c:valAx>
        <c:axId val="208326920"/>
        <c:scaling>
          <c:orientation val="minMax"/>
        </c:scaling>
        <c:delete val="0"/>
        <c:axPos val="l"/>
        <c:majorGridlines/>
        <c:numFmt formatCode="General" sourceLinked="1"/>
        <c:majorTickMark val="out"/>
        <c:minorTickMark val="none"/>
        <c:tickLblPos val="nextTo"/>
        <c:crossAx val="208326136"/>
        <c:crosses val="autoZero"/>
        <c:crossBetween val="between"/>
      </c:valAx>
    </c:plotArea>
    <c:legend>
      <c:legendPos val="r"/>
      <c:layout>
        <c:manualLayout>
          <c:xMode val="edge"/>
          <c:yMode val="edge"/>
          <c:x val="8.0414190161713667E-2"/>
          <c:y val="0.88436563315764349"/>
          <c:w val="0.87558936584539848"/>
          <c:h val="0.11413752142770771"/>
        </c:manualLayout>
      </c:layout>
      <c:overlay val="0"/>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1395348837210765E-2"/>
          <c:y val="4.8582995951419308E-2"/>
          <c:w val="0.91860465116280265"/>
          <c:h val="0.62348178137651822"/>
        </c:manualLayout>
      </c:layout>
      <c:barChart>
        <c:barDir val="col"/>
        <c:grouping val="clustered"/>
        <c:varyColors val="0"/>
        <c:ser>
          <c:idx val="0"/>
          <c:order val="0"/>
          <c:tx>
            <c:strRef>
              <c:f>Sheet1!$A$2</c:f>
              <c:strCache>
                <c:ptCount val="1"/>
                <c:pt idx="0">
                  <c:v>Алыскы чет өлкөлөр / Страны дальнего зарубежья</c:v>
                </c:pt>
              </c:strCache>
            </c:strRef>
          </c:tx>
          <c:spPr>
            <a:solidFill>
              <a:srgbClr val="FFFFFF"/>
            </a:solidFill>
            <a:ln w="12017">
              <a:solidFill>
                <a:srgbClr val="000000"/>
              </a:solidFill>
              <a:prstDash val="solid"/>
            </a:ln>
          </c:spPr>
          <c:invertIfNegative val="0"/>
          <c:dLbls>
            <c:dLbl>
              <c:idx val="2"/>
              <c:layout>
                <c:manualLayout>
                  <c:x val="2.6757407155900042E-3"/>
                  <c:y val="-6.159176005554212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887-4E7B-A259-ACF896DD52EE}"/>
                </c:ext>
              </c:extLst>
            </c:dLbl>
            <c:spPr>
              <a:noFill/>
              <a:ln w="24035">
                <a:noFill/>
              </a:ln>
            </c:spPr>
            <c:txPr>
              <a:bodyPr/>
              <a:lstStyle/>
              <a:p>
                <a:pPr>
                  <a:defRPr sz="875"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2020</c:v>
                </c:pt>
                <c:pt idx="1">
                  <c:v>2021</c:v>
                </c:pt>
                <c:pt idx="2">
                  <c:v>2022</c:v>
                </c:pt>
                <c:pt idx="3">
                  <c:v>2023</c:v>
                </c:pt>
                <c:pt idx="4">
                  <c:v>2024</c:v>
                </c:pt>
              </c:numCache>
            </c:numRef>
          </c:cat>
          <c:val>
            <c:numRef>
              <c:f>Sheet1!$B$2:$F$2</c:f>
              <c:numCache>
                <c:formatCode>0.0</c:formatCode>
                <c:ptCount val="5"/>
                <c:pt idx="0" formatCode="General">
                  <c:v>16.7</c:v>
                </c:pt>
                <c:pt idx="1">
                  <c:v>23.3</c:v>
                </c:pt>
                <c:pt idx="2">
                  <c:v>35.200000000000003</c:v>
                </c:pt>
                <c:pt idx="3">
                  <c:v>27.3</c:v>
                </c:pt>
                <c:pt idx="4">
                  <c:v>25.3</c:v>
                </c:pt>
              </c:numCache>
            </c:numRef>
          </c:val>
          <c:extLst>
            <c:ext xmlns:c16="http://schemas.microsoft.com/office/drawing/2014/chart" uri="{C3380CC4-5D6E-409C-BE32-E72D297353CC}">
              <c16:uniqueId val="{00000001-8887-4E7B-A259-ACF896DD52EE}"/>
            </c:ext>
          </c:extLst>
        </c:ser>
        <c:ser>
          <c:idx val="1"/>
          <c:order val="1"/>
          <c:tx>
            <c:strRef>
              <c:f>Sheet1!$A$3</c:f>
              <c:strCache>
                <c:ptCount val="1"/>
                <c:pt idx="0">
                  <c:v>КМШ мамлекеттери / Государства - члены СНГ</c:v>
                </c:pt>
              </c:strCache>
            </c:strRef>
          </c:tx>
          <c:spPr>
            <a:solidFill>
              <a:srgbClr val="993366"/>
            </a:solidFill>
            <a:ln w="12017">
              <a:solidFill>
                <a:srgbClr val="000000"/>
              </a:solidFill>
              <a:prstDash val="solid"/>
            </a:ln>
          </c:spPr>
          <c:invertIfNegative val="0"/>
          <c:dLbls>
            <c:dLbl>
              <c:idx val="0"/>
              <c:layout>
                <c:manualLayout>
                  <c:x val="7.0315995463932114E-3"/>
                  <c:y val="-7.493168477491900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887-4E7B-A259-ACF896DD52EE}"/>
                </c:ext>
              </c:extLst>
            </c:dLbl>
            <c:spPr>
              <a:noFill/>
              <a:ln w="24035">
                <a:noFill/>
              </a:ln>
            </c:spPr>
            <c:txPr>
              <a:bodyPr/>
              <a:lstStyle/>
              <a:p>
                <a:pPr>
                  <a:defRPr sz="875"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Sheet1!$B$1:$F$1</c:f>
              <c:numCache>
                <c:formatCode>General</c:formatCode>
                <c:ptCount val="5"/>
                <c:pt idx="0">
                  <c:v>2020</c:v>
                </c:pt>
                <c:pt idx="1">
                  <c:v>2021</c:v>
                </c:pt>
                <c:pt idx="2">
                  <c:v>2022</c:v>
                </c:pt>
                <c:pt idx="3">
                  <c:v>2023</c:v>
                </c:pt>
                <c:pt idx="4">
                  <c:v>2024</c:v>
                </c:pt>
              </c:numCache>
            </c:numRef>
          </c:cat>
          <c:val>
            <c:numRef>
              <c:f>Sheet1!$B$3:$F$3</c:f>
              <c:numCache>
                <c:formatCode>0.0</c:formatCode>
                <c:ptCount val="5"/>
                <c:pt idx="0" formatCode="General">
                  <c:v>83.3</c:v>
                </c:pt>
                <c:pt idx="1">
                  <c:v>76.7</c:v>
                </c:pt>
                <c:pt idx="2">
                  <c:v>64.8</c:v>
                </c:pt>
                <c:pt idx="3">
                  <c:v>72.599999999999994</c:v>
                </c:pt>
                <c:pt idx="4">
                  <c:v>74.7</c:v>
                </c:pt>
              </c:numCache>
            </c:numRef>
          </c:val>
          <c:extLst>
            <c:ext xmlns:c16="http://schemas.microsoft.com/office/drawing/2014/chart" uri="{C3380CC4-5D6E-409C-BE32-E72D297353CC}">
              <c16:uniqueId val="{00000003-8887-4E7B-A259-ACF896DD52EE}"/>
            </c:ext>
          </c:extLst>
        </c:ser>
        <c:dLbls>
          <c:showLegendKey val="0"/>
          <c:showVal val="0"/>
          <c:showCatName val="0"/>
          <c:showSerName val="0"/>
          <c:showPercent val="0"/>
          <c:showBubbleSize val="0"/>
        </c:dLbls>
        <c:gapWidth val="150"/>
        <c:axId val="120122752"/>
        <c:axId val="120712576"/>
      </c:barChart>
      <c:catAx>
        <c:axId val="120122752"/>
        <c:scaling>
          <c:orientation val="minMax"/>
        </c:scaling>
        <c:delete val="0"/>
        <c:axPos val="b"/>
        <c:numFmt formatCode="General" sourceLinked="1"/>
        <c:majorTickMark val="out"/>
        <c:minorTickMark val="none"/>
        <c:tickLblPos val="nextTo"/>
        <c:spPr>
          <a:ln w="3004">
            <a:solidFill>
              <a:srgbClr val="000000"/>
            </a:solidFill>
            <a:prstDash val="solid"/>
          </a:ln>
        </c:spPr>
        <c:txPr>
          <a:bodyPr rot="0" vert="horz"/>
          <a:lstStyle/>
          <a:p>
            <a:pPr>
              <a:defRPr sz="875" b="0" i="0" u="none" strike="noStrike" baseline="0">
                <a:solidFill>
                  <a:srgbClr val="000000"/>
                </a:solidFill>
                <a:latin typeface="Times New Roman"/>
                <a:ea typeface="Times New Roman"/>
                <a:cs typeface="Times New Roman"/>
              </a:defRPr>
            </a:pPr>
            <a:endParaRPr lang="ru-RU"/>
          </a:p>
        </c:txPr>
        <c:crossAx val="120712576"/>
        <c:crosses val="autoZero"/>
        <c:auto val="1"/>
        <c:lblAlgn val="ctr"/>
        <c:lblOffset val="100"/>
        <c:tickLblSkip val="1"/>
        <c:tickMarkSkip val="1"/>
        <c:noMultiLvlLbl val="0"/>
      </c:catAx>
      <c:valAx>
        <c:axId val="120712576"/>
        <c:scaling>
          <c:orientation val="minMax"/>
          <c:min val="-10"/>
        </c:scaling>
        <c:delete val="0"/>
        <c:axPos val="l"/>
        <c:numFmt formatCode="General" sourceLinked="1"/>
        <c:majorTickMark val="out"/>
        <c:minorTickMark val="none"/>
        <c:tickLblPos val="nextTo"/>
        <c:spPr>
          <a:ln w="3004">
            <a:solidFill>
              <a:srgbClr val="000000"/>
            </a:solidFill>
            <a:prstDash val="solid"/>
          </a:ln>
        </c:spPr>
        <c:txPr>
          <a:bodyPr rot="0" vert="horz"/>
          <a:lstStyle/>
          <a:p>
            <a:pPr>
              <a:defRPr sz="875" b="0" i="0" u="none" strike="noStrike" baseline="0">
                <a:solidFill>
                  <a:srgbClr val="000000"/>
                </a:solidFill>
                <a:latin typeface="Times New Roman"/>
                <a:ea typeface="Times New Roman"/>
                <a:cs typeface="Times New Roman"/>
              </a:defRPr>
            </a:pPr>
            <a:endParaRPr lang="ru-RU"/>
          </a:p>
        </c:txPr>
        <c:crossAx val="120122752"/>
        <c:crosses val="autoZero"/>
        <c:crossBetween val="between"/>
      </c:valAx>
      <c:spPr>
        <a:solidFill>
          <a:srgbClr val="FFFFFF"/>
        </a:solidFill>
        <a:ln w="24035">
          <a:noFill/>
        </a:ln>
      </c:spPr>
    </c:plotArea>
    <c:legend>
      <c:legendPos val="b"/>
      <c:layout>
        <c:manualLayout>
          <c:xMode val="edge"/>
          <c:yMode val="edge"/>
          <c:x val="6.8106416452427584E-2"/>
          <c:y val="0.7570848584590244"/>
          <c:w val="0.86544841684794682"/>
          <c:h val="0.21052636413868986"/>
        </c:manualLayout>
      </c:layout>
      <c:overlay val="0"/>
      <c:spPr>
        <a:solidFill>
          <a:srgbClr val="FFFFFF"/>
        </a:solidFill>
        <a:ln w="24035">
          <a:noFill/>
        </a:ln>
      </c:spPr>
      <c:txPr>
        <a:bodyPr/>
        <a:lstStyle/>
        <a:p>
          <a:pPr>
            <a:defRPr sz="780"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75" b="0" i="0" u="none" strike="noStrike" baseline="0">
          <a:solidFill>
            <a:srgbClr val="000000"/>
          </a:solidFill>
          <a:latin typeface="Times New Roman"/>
          <a:ea typeface="Times New Roman"/>
          <a:cs typeface="Times New Roman"/>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C8612-DFE8-4FE7-ACEC-85E623713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2763</TotalTime>
  <Pages>43</Pages>
  <Words>15959</Words>
  <Characters>90972</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 User</cp:lastModifiedBy>
  <cp:revision>649</cp:revision>
  <cp:lastPrinted>2024-12-05T02:37:00Z</cp:lastPrinted>
  <dcterms:created xsi:type="dcterms:W3CDTF">2024-06-25T10:34:00Z</dcterms:created>
  <dcterms:modified xsi:type="dcterms:W3CDTF">2025-12-30T03:37:00Z</dcterms:modified>
</cp:coreProperties>
</file>